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68" w:rsidRDefault="00A14868" w:rsidP="00A14868">
      <w:pPr>
        <w:pStyle w:val="DocumentTitle"/>
        <w:jc w:val="right"/>
      </w:pPr>
    </w:p>
    <w:p w:rsidR="00A14868" w:rsidRPr="00504456" w:rsidRDefault="00504456" w:rsidP="00A14868">
      <w:pPr>
        <w:pStyle w:val="DocumentTitle"/>
      </w:pPr>
      <w:r w:rsidRPr="00504456">
        <w:t xml:space="preserve">City of Boroondara </w:t>
      </w:r>
      <w:r w:rsidR="00A14868" w:rsidRPr="00504456">
        <w:t xml:space="preserve">Responsible Gambling </w:t>
      </w:r>
      <w:bookmarkStart w:id="0" w:name="_GoBack"/>
      <w:bookmarkEnd w:id="0"/>
      <w:r w:rsidR="00A14868" w:rsidRPr="00504456">
        <w:t>Policy</w:t>
      </w:r>
    </w:p>
    <w:p w:rsidR="00A14868" w:rsidRPr="00504456" w:rsidRDefault="00A14868" w:rsidP="00A14868">
      <w:pPr>
        <w:pStyle w:val="Titledescription"/>
      </w:pPr>
      <w:r w:rsidRPr="00504456">
        <w:t>2013-1</w:t>
      </w:r>
      <w:r w:rsidR="009F258A" w:rsidRPr="00504456">
        <w:t>8</w:t>
      </w:r>
    </w:p>
    <w:p w:rsidR="00A14868" w:rsidRPr="00504456" w:rsidRDefault="00A14868" w:rsidP="00A14868">
      <w:pPr>
        <w:pStyle w:val="Titledescription"/>
      </w:pPr>
    </w:p>
    <w:p w:rsidR="00A14868" w:rsidRPr="00504456" w:rsidRDefault="00A14868" w:rsidP="00A14868">
      <w:pPr>
        <w:pStyle w:val="Titledescription"/>
      </w:pPr>
    </w:p>
    <w:p w:rsidR="00A14868" w:rsidRPr="00504456" w:rsidRDefault="00A14868" w:rsidP="00A14868">
      <w:pPr>
        <w:pStyle w:val="Titledescription"/>
      </w:pPr>
    </w:p>
    <w:p w:rsidR="00A14868" w:rsidRPr="00504456" w:rsidRDefault="00A14868" w:rsidP="00A14868">
      <w:pPr>
        <w:pStyle w:val="Titledescription"/>
      </w:pPr>
    </w:p>
    <w:p w:rsidR="00A14868" w:rsidRPr="00504456" w:rsidRDefault="00A14868" w:rsidP="00A14868">
      <w:pPr>
        <w:pStyle w:val="Titledescription"/>
      </w:pPr>
    </w:p>
    <w:p w:rsidR="00A14868" w:rsidRPr="00504456" w:rsidRDefault="00A14868" w:rsidP="00A14868">
      <w:pPr>
        <w:pStyle w:val="Titledescription"/>
      </w:pPr>
    </w:p>
    <w:p w:rsidR="00A14868" w:rsidRPr="00504456" w:rsidRDefault="00A14868" w:rsidP="00A14868">
      <w:pPr>
        <w:pStyle w:val="BodyText"/>
      </w:pPr>
    </w:p>
    <w:p w:rsidR="00A14868" w:rsidRPr="00504456" w:rsidRDefault="00A14868" w:rsidP="00A14868">
      <w:pPr>
        <w:pStyle w:val="BodyText"/>
      </w:pPr>
    </w:p>
    <w:p w:rsidR="00A14868" w:rsidRPr="00504456" w:rsidRDefault="00A14868" w:rsidP="00A14868">
      <w:pPr>
        <w:pStyle w:val="BodyText"/>
      </w:pPr>
    </w:p>
    <w:p w:rsidR="00A14868" w:rsidRPr="00504456" w:rsidRDefault="00A14868" w:rsidP="00A14868">
      <w:pPr>
        <w:pStyle w:val="Titlepagefooter"/>
      </w:pPr>
      <w:r w:rsidRPr="00504456">
        <w:rPr>
          <w:b/>
        </w:rPr>
        <w:t>Responsible Directorate:</w:t>
      </w:r>
      <w:r w:rsidRPr="00504456">
        <w:t xml:space="preserve"> Community Development</w:t>
      </w:r>
    </w:p>
    <w:p w:rsidR="00A14868" w:rsidRPr="00504456" w:rsidRDefault="00A14868" w:rsidP="00A14868">
      <w:pPr>
        <w:pStyle w:val="Titlepagefooter"/>
      </w:pPr>
      <w:proofErr w:type="spellStart"/>
      <w:r w:rsidRPr="00504456">
        <w:rPr>
          <w:b/>
        </w:rPr>
        <w:t>Authorised</w:t>
      </w:r>
      <w:proofErr w:type="spellEnd"/>
      <w:r w:rsidRPr="00504456">
        <w:rPr>
          <w:b/>
        </w:rPr>
        <w:t xml:space="preserve"> by:</w:t>
      </w:r>
      <w:r w:rsidRPr="00504456">
        <w:t xml:space="preserve"> Council</w:t>
      </w:r>
    </w:p>
    <w:p w:rsidR="00A14868" w:rsidRPr="00504456" w:rsidRDefault="00A14868" w:rsidP="00A14868">
      <w:pPr>
        <w:pStyle w:val="Titlepagefooter"/>
      </w:pPr>
      <w:r w:rsidRPr="00504456">
        <w:rPr>
          <w:b/>
        </w:rPr>
        <w:t>Date of adoption:</w:t>
      </w:r>
      <w:r w:rsidR="00504456" w:rsidRPr="00504456">
        <w:t xml:space="preserve"> 9 December 2013</w:t>
      </w:r>
    </w:p>
    <w:p w:rsidR="00A14868" w:rsidRPr="00504456" w:rsidRDefault="00A14868" w:rsidP="00A14868">
      <w:pPr>
        <w:pStyle w:val="Titlepagefooter"/>
      </w:pPr>
      <w:r w:rsidRPr="00504456">
        <w:rPr>
          <w:b/>
        </w:rPr>
        <w:t>Review date:</w:t>
      </w:r>
      <w:r w:rsidRPr="00504456">
        <w:t xml:space="preserve"> </w:t>
      </w:r>
      <w:r w:rsidR="00504456" w:rsidRPr="00504456">
        <w:t>2018</w:t>
      </w:r>
    </w:p>
    <w:p w:rsidR="00A14868" w:rsidRPr="00504456" w:rsidRDefault="00A14868" w:rsidP="00A14868">
      <w:pPr>
        <w:pStyle w:val="Titlepagefooter"/>
      </w:pPr>
      <w:r w:rsidRPr="00504456">
        <w:rPr>
          <w:b/>
        </w:rPr>
        <w:t>Policy type:</w:t>
      </w:r>
      <w:r w:rsidRPr="00504456">
        <w:t xml:space="preserve"> Council</w:t>
      </w:r>
    </w:p>
    <w:p w:rsidR="00A14868" w:rsidRPr="00504456" w:rsidRDefault="00A14868" w:rsidP="00A14868">
      <w:pPr>
        <w:pStyle w:val="BodyText"/>
      </w:pPr>
    </w:p>
    <w:p w:rsidR="00A14868" w:rsidRPr="00504456" w:rsidRDefault="00A14868" w:rsidP="00A14868">
      <w:pPr>
        <w:pStyle w:val="BodyText"/>
        <w:sectPr w:rsidR="00A14868" w:rsidRPr="00504456" w:rsidSect="00F03287">
          <w:headerReference w:type="default" r:id="rId9"/>
          <w:footerReference w:type="even" r:id="rId10"/>
          <w:footerReference w:type="default" r:id="rId11"/>
          <w:pgSz w:w="11900" w:h="16840"/>
          <w:pgMar w:top="1814" w:right="1021" w:bottom="1304" w:left="1021" w:header="709" w:footer="340" w:gutter="0"/>
          <w:cols w:space="708"/>
        </w:sectPr>
      </w:pPr>
    </w:p>
    <w:p w:rsidR="00A14868" w:rsidRPr="00504456" w:rsidRDefault="00A14868" w:rsidP="00A14868">
      <w:pPr>
        <w:pStyle w:val="PageHeadingContents"/>
        <w:spacing w:after="480"/>
        <w:rPr>
          <w:color w:val="165C51"/>
        </w:rPr>
      </w:pPr>
      <w:r w:rsidRPr="00504456">
        <w:rPr>
          <w:color w:val="165C51"/>
        </w:rPr>
        <w:lastRenderedPageBreak/>
        <w:t>Table of contents</w:t>
      </w:r>
    </w:p>
    <w:p w:rsidR="00AD3A56" w:rsidRPr="00504456" w:rsidRDefault="004241A1">
      <w:pPr>
        <w:pStyle w:val="TOC1"/>
        <w:rPr>
          <w:rFonts w:asciiTheme="minorHAnsi" w:eastAsiaTheme="minorEastAsia" w:hAnsiTheme="minorHAnsi" w:cstheme="minorBidi"/>
          <w:b w:val="0"/>
          <w:noProof/>
          <w:color w:val="auto"/>
          <w:sz w:val="22"/>
          <w:szCs w:val="22"/>
          <w:lang w:val="en-AU" w:eastAsia="en-AU"/>
        </w:rPr>
      </w:pPr>
      <w:r w:rsidRPr="00504456">
        <w:fldChar w:fldCharType="begin"/>
      </w:r>
      <w:r w:rsidR="00A14868" w:rsidRPr="00504456">
        <w:instrText xml:space="preserve"> TOC \o "1-3" </w:instrText>
      </w:r>
      <w:r w:rsidRPr="00504456">
        <w:fldChar w:fldCharType="separate"/>
      </w:r>
      <w:r w:rsidR="00AD3A56" w:rsidRPr="00504456">
        <w:rPr>
          <w:noProof/>
        </w:rPr>
        <w:t>1.</w:t>
      </w:r>
      <w:r w:rsidR="00AD3A56" w:rsidRPr="00504456">
        <w:rPr>
          <w:rFonts w:asciiTheme="minorHAnsi" w:eastAsiaTheme="minorEastAsia" w:hAnsiTheme="minorHAnsi" w:cstheme="minorBidi"/>
          <w:b w:val="0"/>
          <w:noProof/>
          <w:color w:val="auto"/>
          <w:sz w:val="22"/>
          <w:szCs w:val="22"/>
          <w:lang w:val="en-AU" w:eastAsia="en-AU"/>
        </w:rPr>
        <w:tab/>
      </w:r>
      <w:r w:rsidR="00AD3A56" w:rsidRPr="00504456">
        <w:rPr>
          <w:noProof/>
        </w:rPr>
        <w:t>Introduction</w:t>
      </w:r>
      <w:r w:rsidR="00AD3A56" w:rsidRPr="00504456">
        <w:rPr>
          <w:noProof/>
        </w:rPr>
        <w:tab/>
      </w:r>
      <w:r w:rsidRPr="00504456">
        <w:rPr>
          <w:noProof/>
        </w:rPr>
        <w:fldChar w:fldCharType="begin"/>
      </w:r>
      <w:r w:rsidR="00AD3A56" w:rsidRPr="00504456">
        <w:rPr>
          <w:noProof/>
        </w:rPr>
        <w:instrText xml:space="preserve"> PAGEREF _Toc372787017 \h </w:instrText>
      </w:r>
      <w:r w:rsidRPr="00504456">
        <w:rPr>
          <w:noProof/>
        </w:rPr>
      </w:r>
      <w:r w:rsidRPr="00504456">
        <w:rPr>
          <w:noProof/>
        </w:rPr>
        <w:fldChar w:fldCharType="separate"/>
      </w:r>
      <w:r w:rsidR="00D16035">
        <w:rPr>
          <w:noProof/>
        </w:rPr>
        <w:t>3</w:t>
      </w:r>
      <w:r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1.1.</w:t>
      </w:r>
      <w:r w:rsidRPr="00504456">
        <w:rPr>
          <w:rFonts w:asciiTheme="minorHAnsi" w:eastAsiaTheme="minorEastAsia" w:hAnsiTheme="minorHAnsi" w:cstheme="minorBidi"/>
          <w:noProof/>
          <w:sz w:val="22"/>
          <w:szCs w:val="22"/>
          <w:lang w:val="en-AU" w:eastAsia="en-AU"/>
        </w:rPr>
        <w:tab/>
      </w:r>
      <w:r w:rsidRPr="00504456">
        <w:rPr>
          <w:noProof/>
        </w:rPr>
        <w:t>Purpose</w:t>
      </w:r>
      <w:r w:rsidRPr="00504456">
        <w:rPr>
          <w:noProof/>
        </w:rPr>
        <w:tab/>
      </w:r>
      <w:r w:rsidR="004241A1" w:rsidRPr="00504456">
        <w:rPr>
          <w:noProof/>
        </w:rPr>
        <w:fldChar w:fldCharType="begin"/>
      </w:r>
      <w:r w:rsidRPr="00504456">
        <w:rPr>
          <w:noProof/>
        </w:rPr>
        <w:instrText xml:space="preserve"> PAGEREF _Toc372787018 \h </w:instrText>
      </w:r>
      <w:r w:rsidR="004241A1" w:rsidRPr="00504456">
        <w:rPr>
          <w:noProof/>
        </w:rPr>
      </w:r>
      <w:r w:rsidR="004241A1" w:rsidRPr="00504456">
        <w:rPr>
          <w:noProof/>
        </w:rPr>
        <w:fldChar w:fldCharType="separate"/>
      </w:r>
      <w:r w:rsidR="00D16035">
        <w:rPr>
          <w:noProof/>
        </w:rPr>
        <w:t>3</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1.2.</w:t>
      </w:r>
      <w:r w:rsidRPr="00504456">
        <w:rPr>
          <w:rFonts w:asciiTheme="minorHAnsi" w:eastAsiaTheme="minorEastAsia" w:hAnsiTheme="minorHAnsi" w:cstheme="minorBidi"/>
          <w:noProof/>
          <w:sz w:val="22"/>
          <w:szCs w:val="22"/>
          <w:lang w:val="en-AU" w:eastAsia="en-AU"/>
        </w:rPr>
        <w:tab/>
      </w:r>
      <w:r w:rsidRPr="00504456">
        <w:rPr>
          <w:noProof/>
        </w:rPr>
        <w:t>Scope</w:t>
      </w:r>
      <w:r w:rsidRPr="00504456">
        <w:rPr>
          <w:noProof/>
        </w:rPr>
        <w:tab/>
      </w:r>
      <w:r w:rsidR="004241A1" w:rsidRPr="00504456">
        <w:rPr>
          <w:noProof/>
        </w:rPr>
        <w:fldChar w:fldCharType="begin"/>
      </w:r>
      <w:r w:rsidRPr="00504456">
        <w:rPr>
          <w:noProof/>
        </w:rPr>
        <w:instrText xml:space="preserve"> PAGEREF _Toc372787019 \h </w:instrText>
      </w:r>
      <w:r w:rsidR="004241A1" w:rsidRPr="00504456">
        <w:rPr>
          <w:noProof/>
        </w:rPr>
      </w:r>
      <w:r w:rsidR="004241A1" w:rsidRPr="00504456">
        <w:rPr>
          <w:noProof/>
        </w:rPr>
        <w:fldChar w:fldCharType="separate"/>
      </w:r>
      <w:r w:rsidR="00D16035">
        <w:rPr>
          <w:noProof/>
        </w:rPr>
        <w:t>3</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1.3.</w:t>
      </w:r>
      <w:r w:rsidRPr="00504456">
        <w:rPr>
          <w:rFonts w:asciiTheme="minorHAnsi" w:eastAsiaTheme="minorEastAsia" w:hAnsiTheme="minorHAnsi" w:cstheme="minorBidi"/>
          <w:noProof/>
          <w:sz w:val="22"/>
          <w:szCs w:val="22"/>
          <w:lang w:val="en-AU" w:eastAsia="en-AU"/>
        </w:rPr>
        <w:tab/>
      </w:r>
      <w:r w:rsidRPr="00504456">
        <w:rPr>
          <w:noProof/>
        </w:rPr>
        <w:t>Corporate framework</w:t>
      </w:r>
      <w:r w:rsidRPr="00504456">
        <w:rPr>
          <w:noProof/>
        </w:rPr>
        <w:tab/>
      </w:r>
      <w:r w:rsidR="004241A1" w:rsidRPr="00504456">
        <w:rPr>
          <w:noProof/>
        </w:rPr>
        <w:fldChar w:fldCharType="begin"/>
      </w:r>
      <w:r w:rsidRPr="00504456">
        <w:rPr>
          <w:noProof/>
        </w:rPr>
        <w:instrText xml:space="preserve"> PAGEREF _Toc372787020 \h </w:instrText>
      </w:r>
      <w:r w:rsidR="004241A1" w:rsidRPr="00504456">
        <w:rPr>
          <w:noProof/>
        </w:rPr>
      </w:r>
      <w:r w:rsidR="004241A1" w:rsidRPr="00504456">
        <w:rPr>
          <w:noProof/>
        </w:rPr>
        <w:fldChar w:fldCharType="separate"/>
      </w:r>
      <w:r w:rsidR="00D16035">
        <w:rPr>
          <w:noProof/>
        </w:rPr>
        <w:t>4</w:t>
      </w:r>
      <w:r w:rsidR="004241A1" w:rsidRPr="00504456">
        <w:rPr>
          <w:noProof/>
        </w:rPr>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2.</w:t>
      </w:r>
      <w:r w:rsidRPr="00504456">
        <w:rPr>
          <w:rFonts w:asciiTheme="minorHAnsi" w:eastAsiaTheme="minorEastAsia" w:hAnsiTheme="minorHAnsi" w:cstheme="minorBidi"/>
          <w:b w:val="0"/>
          <w:noProof/>
          <w:color w:val="auto"/>
          <w:sz w:val="22"/>
          <w:szCs w:val="22"/>
          <w:lang w:val="en-AU" w:eastAsia="en-AU"/>
        </w:rPr>
        <w:tab/>
      </w:r>
      <w:r w:rsidRPr="00504456">
        <w:rPr>
          <w:noProof/>
        </w:rPr>
        <w:t>Background</w:t>
      </w:r>
      <w:r w:rsidRPr="00504456">
        <w:rPr>
          <w:noProof/>
        </w:rPr>
        <w:tab/>
      </w:r>
      <w:r w:rsidR="004241A1" w:rsidRPr="00504456">
        <w:rPr>
          <w:noProof/>
        </w:rPr>
        <w:fldChar w:fldCharType="begin"/>
      </w:r>
      <w:r w:rsidRPr="00504456">
        <w:rPr>
          <w:noProof/>
        </w:rPr>
        <w:instrText xml:space="preserve"> PAGEREF _Toc372787021 \h </w:instrText>
      </w:r>
      <w:r w:rsidR="004241A1" w:rsidRPr="00504456">
        <w:rPr>
          <w:noProof/>
        </w:rPr>
      </w:r>
      <w:r w:rsidR="004241A1" w:rsidRPr="00504456">
        <w:rPr>
          <w:noProof/>
        </w:rPr>
        <w:fldChar w:fldCharType="separate"/>
      </w:r>
      <w:r w:rsidR="00D16035">
        <w:rPr>
          <w:noProof/>
        </w:rPr>
        <w:t>4</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rFonts w:cs="Arial"/>
          <w:noProof/>
        </w:rPr>
        <w:t>2.1.</w:t>
      </w:r>
      <w:r w:rsidRPr="00504456">
        <w:rPr>
          <w:rFonts w:asciiTheme="minorHAnsi" w:eastAsiaTheme="minorEastAsia" w:hAnsiTheme="minorHAnsi" w:cstheme="minorBidi"/>
          <w:noProof/>
          <w:sz w:val="22"/>
          <w:szCs w:val="22"/>
          <w:lang w:val="en-AU" w:eastAsia="en-AU"/>
        </w:rPr>
        <w:tab/>
      </w:r>
      <w:r w:rsidRPr="00504456">
        <w:rPr>
          <w:noProof/>
        </w:rPr>
        <w:t>Policy environment</w:t>
      </w:r>
      <w:r w:rsidRPr="00504456">
        <w:rPr>
          <w:noProof/>
        </w:rPr>
        <w:tab/>
      </w:r>
      <w:r w:rsidR="004241A1" w:rsidRPr="00504456">
        <w:rPr>
          <w:noProof/>
        </w:rPr>
        <w:fldChar w:fldCharType="begin"/>
      </w:r>
      <w:r w:rsidRPr="00504456">
        <w:rPr>
          <w:noProof/>
        </w:rPr>
        <w:instrText xml:space="preserve"> PAGEREF _Toc372787022 \h </w:instrText>
      </w:r>
      <w:r w:rsidR="004241A1" w:rsidRPr="00504456">
        <w:rPr>
          <w:noProof/>
        </w:rPr>
      </w:r>
      <w:r w:rsidR="004241A1" w:rsidRPr="00504456">
        <w:rPr>
          <w:noProof/>
        </w:rPr>
        <w:fldChar w:fldCharType="separate"/>
      </w:r>
      <w:r w:rsidR="00D16035">
        <w:rPr>
          <w:noProof/>
        </w:rPr>
        <w:t>5</w:t>
      </w:r>
      <w:r w:rsidR="004241A1" w:rsidRPr="00504456">
        <w:rPr>
          <w:noProof/>
        </w:rPr>
        <w:fldChar w:fldCharType="end"/>
      </w:r>
    </w:p>
    <w:p w:rsidR="00AD3A56" w:rsidRPr="00504456" w:rsidRDefault="00AD3A56">
      <w:pPr>
        <w:pStyle w:val="TOC3"/>
        <w:rPr>
          <w:rFonts w:asciiTheme="minorHAnsi" w:eastAsiaTheme="minorEastAsia" w:hAnsiTheme="minorHAnsi" w:cstheme="minorBidi"/>
          <w:lang w:val="en-AU" w:eastAsia="en-AU"/>
        </w:rPr>
      </w:pPr>
      <w:r w:rsidRPr="00504456">
        <w:rPr>
          <w:rFonts w:cs="Arial"/>
        </w:rPr>
        <w:t>2.1.1.</w:t>
      </w:r>
      <w:r w:rsidRPr="00504456">
        <w:rPr>
          <w:rFonts w:asciiTheme="minorHAnsi" w:eastAsiaTheme="minorEastAsia" w:hAnsiTheme="minorHAnsi" w:cstheme="minorBidi"/>
          <w:lang w:val="en-AU" w:eastAsia="en-AU"/>
        </w:rPr>
        <w:tab/>
      </w:r>
      <w:r w:rsidRPr="00504456">
        <w:t>Australian Government</w:t>
      </w:r>
      <w:r w:rsidRPr="00504456">
        <w:rPr>
          <w:rFonts w:cs="Arial"/>
          <w:color w:val="000000"/>
        </w:rPr>
        <w:t xml:space="preserve"> </w:t>
      </w:r>
      <w:r w:rsidRPr="00504456">
        <w:t>Productivity Commission's Gambling Report</w:t>
      </w:r>
      <w:r w:rsidRPr="00504456">
        <w:tab/>
      </w:r>
      <w:r w:rsidR="004241A1" w:rsidRPr="00504456">
        <w:fldChar w:fldCharType="begin"/>
      </w:r>
      <w:r w:rsidRPr="00504456">
        <w:instrText xml:space="preserve"> PAGEREF _Toc372787023 \h </w:instrText>
      </w:r>
      <w:r w:rsidR="004241A1" w:rsidRPr="00504456">
        <w:fldChar w:fldCharType="separate"/>
      </w:r>
      <w:r w:rsidR="00D16035">
        <w:t>5</w:t>
      </w:r>
      <w:r w:rsidR="004241A1" w:rsidRPr="00504456">
        <w:fldChar w:fldCharType="end"/>
      </w:r>
    </w:p>
    <w:p w:rsidR="00AD3A56" w:rsidRPr="00504456" w:rsidRDefault="00AD3A56">
      <w:pPr>
        <w:pStyle w:val="TOC3"/>
        <w:rPr>
          <w:rFonts w:asciiTheme="minorHAnsi" w:eastAsiaTheme="minorEastAsia" w:hAnsiTheme="minorHAnsi" w:cstheme="minorBidi"/>
          <w:lang w:val="en-AU" w:eastAsia="en-AU"/>
        </w:rPr>
      </w:pPr>
      <w:r w:rsidRPr="00504456">
        <w:t>2.1.2.</w:t>
      </w:r>
      <w:r w:rsidRPr="00504456">
        <w:rPr>
          <w:rFonts w:asciiTheme="minorHAnsi" w:eastAsiaTheme="minorEastAsia" w:hAnsiTheme="minorHAnsi" w:cstheme="minorBidi"/>
          <w:lang w:val="en-AU" w:eastAsia="en-AU"/>
        </w:rPr>
        <w:tab/>
      </w:r>
      <w:r w:rsidRPr="00504456">
        <w:t>Victorian Competition and Efficiency Commission's Gambling Report</w:t>
      </w:r>
      <w:r w:rsidRPr="00504456">
        <w:tab/>
      </w:r>
      <w:r w:rsidR="004241A1" w:rsidRPr="00504456">
        <w:fldChar w:fldCharType="begin"/>
      </w:r>
      <w:r w:rsidRPr="00504456">
        <w:instrText xml:space="preserve"> PAGEREF _Toc372787024 \h </w:instrText>
      </w:r>
      <w:r w:rsidR="004241A1" w:rsidRPr="00504456">
        <w:fldChar w:fldCharType="separate"/>
      </w:r>
      <w:r w:rsidR="00D16035">
        <w:t>6</w:t>
      </w:r>
      <w:r w:rsidR="004241A1" w:rsidRPr="00504456">
        <w:fldChar w:fldCharType="end"/>
      </w:r>
    </w:p>
    <w:p w:rsidR="00AD3A56" w:rsidRPr="00504456" w:rsidRDefault="00AD3A56">
      <w:pPr>
        <w:pStyle w:val="TOC3"/>
        <w:rPr>
          <w:rFonts w:asciiTheme="minorHAnsi" w:eastAsiaTheme="minorEastAsia" w:hAnsiTheme="minorHAnsi" w:cstheme="minorBidi"/>
          <w:lang w:val="en-AU" w:eastAsia="en-AU"/>
        </w:rPr>
      </w:pPr>
      <w:r w:rsidRPr="00504456">
        <w:rPr>
          <w:rFonts w:ascii="HelveticaNeueLTStd-Roman" w:hAnsi="HelveticaNeueLTStd-Roman" w:cs="HelveticaNeueLTStd-Roman"/>
        </w:rPr>
        <w:t>2.1.3.</w:t>
      </w:r>
      <w:r w:rsidRPr="00504456">
        <w:rPr>
          <w:rFonts w:asciiTheme="minorHAnsi" w:eastAsiaTheme="minorEastAsia" w:hAnsiTheme="minorHAnsi" w:cstheme="minorBidi"/>
          <w:lang w:val="en-AU" w:eastAsia="en-AU"/>
        </w:rPr>
        <w:tab/>
      </w:r>
      <w:r w:rsidRPr="00504456">
        <w:t>EGMs in Victoria</w:t>
      </w:r>
      <w:r w:rsidRPr="00504456">
        <w:tab/>
      </w:r>
      <w:r w:rsidR="004241A1" w:rsidRPr="00504456">
        <w:fldChar w:fldCharType="begin"/>
      </w:r>
      <w:r w:rsidRPr="00504456">
        <w:instrText xml:space="preserve"> PAGEREF _Toc372787025 \h </w:instrText>
      </w:r>
      <w:r w:rsidR="004241A1" w:rsidRPr="00504456">
        <w:fldChar w:fldCharType="separate"/>
      </w:r>
      <w:r w:rsidR="00D16035">
        <w:t>8</w:t>
      </w:r>
      <w:r w:rsidR="004241A1" w:rsidRPr="00504456">
        <w:fldChar w:fldCharType="end"/>
      </w:r>
    </w:p>
    <w:p w:rsidR="00AD3A56" w:rsidRPr="00504456" w:rsidRDefault="00AD3A56">
      <w:pPr>
        <w:pStyle w:val="TOC3"/>
        <w:rPr>
          <w:rFonts w:asciiTheme="minorHAnsi" w:eastAsiaTheme="minorEastAsia" w:hAnsiTheme="minorHAnsi" w:cstheme="minorBidi"/>
          <w:lang w:val="en-AU" w:eastAsia="en-AU"/>
        </w:rPr>
      </w:pPr>
      <w:r w:rsidRPr="00504456">
        <w:rPr>
          <w:rFonts w:ascii="HelveticaNeueLTStd-Roman" w:hAnsi="HelveticaNeueLTStd-Roman" w:cs="HelveticaNeueLTStd-Roman"/>
        </w:rPr>
        <w:t>2.1.4.</w:t>
      </w:r>
      <w:r w:rsidRPr="00504456">
        <w:rPr>
          <w:rFonts w:asciiTheme="minorHAnsi" w:eastAsiaTheme="minorEastAsia" w:hAnsiTheme="minorHAnsi" w:cstheme="minorBidi"/>
          <w:lang w:val="en-AU" w:eastAsia="en-AU"/>
        </w:rPr>
        <w:tab/>
      </w:r>
      <w:r w:rsidRPr="00504456">
        <w:t>EGMs in the City of Boroondara</w:t>
      </w:r>
      <w:r w:rsidRPr="00504456">
        <w:tab/>
      </w:r>
      <w:r w:rsidR="004241A1" w:rsidRPr="00504456">
        <w:fldChar w:fldCharType="begin"/>
      </w:r>
      <w:r w:rsidRPr="00504456">
        <w:instrText xml:space="preserve"> PAGEREF _Toc372787026 \h </w:instrText>
      </w:r>
      <w:r w:rsidR="004241A1" w:rsidRPr="00504456">
        <w:fldChar w:fldCharType="separate"/>
      </w:r>
      <w:r w:rsidR="00D16035">
        <w:t>9</w:t>
      </w:r>
      <w:r w:rsidR="004241A1" w:rsidRPr="00504456">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2.2.</w:t>
      </w:r>
      <w:r w:rsidRPr="00504456">
        <w:rPr>
          <w:rFonts w:asciiTheme="minorHAnsi" w:eastAsiaTheme="minorEastAsia" w:hAnsiTheme="minorHAnsi" w:cstheme="minorBidi"/>
          <w:noProof/>
          <w:sz w:val="22"/>
          <w:szCs w:val="22"/>
          <w:lang w:val="en-AU" w:eastAsia="en-AU"/>
        </w:rPr>
        <w:tab/>
      </w:r>
      <w:r w:rsidRPr="00504456">
        <w:rPr>
          <w:noProof/>
        </w:rPr>
        <w:t>Policy context</w:t>
      </w:r>
      <w:r w:rsidRPr="00504456">
        <w:rPr>
          <w:noProof/>
        </w:rPr>
        <w:tab/>
      </w:r>
      <w:r w:rsidR="004241A1" w:rsidRPr="00504456">
        <w:rPr>
          <w:noProof/>
        </w:rPr>
        <w:fldChar w:fldCharType="begin"/>
      </w:r>
      <w:r w:rsidRPr="00504456">
        <w:rPr>
          <w:noProof/>
        </w:rPr>
        <w:instrText xml:space="preserve"> PAGEREF _Toc372787027 \h </w:instrText>
      </w:r>
      <w:r w:rsidR="004241A1" w:rsidRPr="00504456">
        <w:rPr>
          <w:noProof/>
        </w:rPr>
      </w:r>
      <w:r w:rsidR="004241A1" w:rsidRPr="00504456">
        <w:rPr>
          <w:noProof/>
        </w:rPr>
        <w:fldChar w:fldCharType="separate"/>
      </w:r>
      <w:r w:rsidR="00D16035">
        <w:rPr>
          <w:noProof/>
        </w:rPr>
        <w:t>11</w:t>
      </w:r>
      <w:r w:rsidR="004241A1" w:rsidRPr="00504456">
        <w:rPr>
          <w:noProof/>
        </w:rPr>
        <w:fldChar w:fldCharType="end"/>
      </w:r>
    </w:p>
    <w:p w:rsidR="00AD3A56" w:rsidRPr="00504456" w:rsidRDefault="00AD3A56">
      <w:pPr>
        <w:pStyle w:val="TOC3"/>
        <w:rPr>
          <w:rFonts w:asciiTheme="minorHAnsi" w:eastAsiaTheme="minorEastAsia" w:hAnsiTheme="minorHAnsi" w:cstheme="minorBidi"/>
          <w:lang w:val="en-AU" w:eastAsia="en-AU"/>
        </w:rPr>
      </w:pPr>
      <w:r w:rsidRPr="00504456">
        <w:t>2.2.1.</w:t>
      </w:r>
      <w:r w:rsidRPr="00504456">
        <w:rPr>
          <w:rFonts w:asciiTheme="minorHAnsi" w:eastAsiaTheme="minorEastAsia" w:hAnsiTheme="minorHAnsi" w:cstheme="minorBidi"/>
          <w:lang w:val="en-AU" w:eastAsia="en-AU"/>
        </w:rPr>
        <w:tab/>
      </w:r>
      <w:r w:rsidRPr="00504456">
        <w:t>Australian Government</w:t>
      </w:r>
      <w:r w:rsidRPr="00504456">
        <w:tab/>
      </w:r>
      <w:r w:rsidR="004241A1" w:rsidRPr="00504456">
        <w:fldChar w:fldCharType="begin"/>
      </w:r>
      <w:r w:rsidRPr="00504456">
        <w:instrText xml:space="preserve"> PAGEREF _Toc372787028 \h </w:instrText>
      </w:r>
      <w:r w:rsidR="004241A1" w:rsidRPr="00504456">
        <w:fldChar w:fldCharType="separate"/>
      </w:r>
      <w:r w:rsidR="00D16035">
        <w:t>12</w:t>
      </w:r>
      <w:r w:rsidR="004241A1" w:rsidRPr="00504456">
        <w:fldChar w:fldCharType="end"/>
      </w:r>
    </w:p>
    <w:p w:rsidR="00AD3A56" w:rsidRPr="00504456" w:rsidRDefault="00AD3A56">
      <w:pPr>
        <w:pStyle w:val="TOC3"/>
        <w:rPr>
          <w:rFonts w:asciiTheme="minorHAnsi" w:eastAsiaTheme="minorEastAsia" w:hAnsiTheme="minorHAnsi" w:cstheme="minorBidi"/>
          <w:lang w:val="en-AU" w:eastAsia="en-AU"/>
        </w:rPr>
      </w:pPr>
      <w:r w:rsidRPr="00504456">
        <w:t>2.2.2.</w:t>
      </w:r>
      <w:r w:rsidRPr="00504456">
        <w:rPr>
          <w:rFonts w:asciiTheme="minorHAnsi" w:eastAsiaTheme="minorEastAsia" w:hAnsiTheme="minorHAnsi" w:cstheme="minorBidi"/>
          <w:lang w:val="en-AU" w:eastAsia="en-AU"/>
        </w:rPr>
        <w:tab/>
      </w:r>
      <w:r w:rsidRPr="00504456">
        <w:t>Victorian Government</w:t>
      </w:r>
      <w:r w:rsidRPr="00504456">
        <w:tab/>
      </w:r>
      <w:r w:rsidR="004241A1" w:rsidRPr="00504456">
        <w:fldChar w:fldCharType="begin"/>
      </w:r>
      <w:r w:rsidRPr="00504456">
        <w:instrText xml:space="preserve"> PAGEREF _Toc372787029 \h </w:instrText>
      </w:r>
      <w:r w:rsidR="004241A1" w:rsidRPr="00504456">
        <w:fldChar w:fldCharType="separate"/>
      </w:r>
      <w:r w:rsidR="00D16035">
        <w:t>13</w:t>
      </w:r>
      <w:r w:rsidR="004241A1" w:rsidRPr="00504456">
        <w:fldChar w:fldCharType="end"/>
      </w:r>
    </w:p>
    <w:p w:rsidR="00AD3A56" w:rsidRPr="00504456" w:rsidRDefault="00AD3A56">
      <w:pPr>
        <w:pStyle w:val="TOC3"/>
        <w:rPr>
          <w:rFonts w:asciiTheme="minorHAnsi" w:eastAsiaTheme="minorEastAsia" w:hAnsiTheme="minorHAnsi" w:cstheme="minorBidi"/>
          <w:lang w:val="en-AU" w:eastAsia="en-AU"/>
        </w:rPr>
      </w:pPr>
      <w:r w:rsidRPr="00504456">
        <w:t>2.2.3.</w:t>
      </w:r>
      <w:r w:rsidRPr="00504456">
        <w:rPr>
          <w:rFonts w:asciiTheme="minorHAnsi" w:eastAsiaTheme="minorEastAsia" w:hAnsiTheme="minorHAnsi" w:cstheme="minorBidi"/>
          <w:lang w:val="en-AU" w:eastAsia="en-AU"/>
        </w:rPr>
        <w:tab/>
      </w:r>
      <w:r w:rsidRPr="00504456">
        <w:t>City of Boroondara</w:t>
      </w:r>
      <w:r w:rsidRPr="00504456">
        <w:tab/>
      </w:r>
      <w:r w:rsidR="004241A1" w:rsidRPr="00504456">
        <w:fldChar w:fldCharType="begin"/>
      </w:r>
      <w:r w:rsidRPr="00504456">
        <w:instrText xml:space="preserve"> PAGEREF _Toc372787030 \h </w:instrText>
      </w:r>
      <w:r w:rsidR="004241A1" w:rsidRPr="00504456">
        <w:fldChar w:fldCharType="separate"/>
      </w:r>
      <w:r w:rsidR="00D16035">
        <w:t>16</w:t>
      </w:r>
      <w:r w:rsidR="004241A1" w:rsidRPr="00504456">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3.</w:t>
      </w:r>
      <w:r w:rsidRPr="00504456">
        <w:rPr>
          <w:rFonts w:asciiTheme="minorHAnsi" w:eastAsiaTheme="minorEastAsia" w:hAnsiTheme="minorHAnsi" w:cstheme="minorBidi"/>
          <w:b w:val="0"/>
          <w:noProof/>
          <w:color w:val="auto"/>
          <w:sz w:val="22"/>
          <w:szCs w:val="22"/>
          <w:lang w:val="en-AU" w:eastAsia="en-AU"/>
        </w:rPr>
        <w:tab/>
      </w:r>
      <w:r w:rsidRPr="00504456">
        <w:rPr>
          <w:noProof/>
        </w:rPr>
        <w:t>Methodology</w:t>
      </w:r>
      <w:r w:rsidRPr="00504456">
        <w:rPr>
          <w:noProof/>
        </w:rPr>
        <w:tab/>
      </w:r>
      <w:r w:rsidR="004241A1" w:rsidRPr="00504456">
        <w:rPr>
          <w:noProof/>
        </w:rPr>
        <w:fldChar w:fldCharType="begin"/>
      </w:r>
      <w:r w:rsidRPr="00504456">
        <w:rPr>
          <w:noProof/>
        </w:rPr>
        <w:instrText xml:space="preserve"> PAGEREF _Toc372787031 \h </w:instrText>
      </w:r>
      <w:r w:rsidR="004241A1" w:rsidRPr="00504456">
        <w:rPr>
          <w:noProof/>
        </w:rPr>
      </w:r>
      <w:r w:rsidR="004241A1" w:rsidRPr="00504456">
        <w:rPr>
          <w:noProof/>
        </w:rPr>
        <w:fldChar w:fldCharType="separate"/>
      </w:r>
      <w:r w:rsidR="00D16035">
        <w:rPr>
          <w:noProof/>
        </w:rPr>
        <w:t>19</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3.1.</w:t>
      </w:r>
      <w:r w:rsidRPr="00504456">
        <w:rPr>
          <w:rFonts w:asciiTheme="minorHAnsi" w:eastAsiaTheme="minorEastAsia" w:hAnsiTheme="minorHAnsi" w:cstheme="minorBidi"/>
          <w:noProof/>
          <w:sz w:val="22"/>
          <w:szCs w:val="22"/>
          <w:lang w:val="en-AU" w:eastAsia="en-AU"/>
        </w:rPr>
        <w:tab/>
      </w:r>
      <w:r w:rsidRPr="00504456">
        <w:rPr>
          <w:noProof/>
        </w:rPr>
        <w:t>Research findings</w:t>
      </w:r>
      <w:r w:rsidRPr="00504456">
        <w:rPr>
          <w:noProof/>
        </w:rPr>
        <w:tab/>
      </w:r>
      <w:r w:rsidR="004241A1" w:rsidRPr="00504456">
        <w:rPr>
          <w:noProof/>
        </w:rPr>
        <w:fldChar w:fldCharType="begin"/>
      </w:r>
      <w:r w:rsidRPr="00504456">
        <w:rPr>
          <w:noProof/>
        </w:rPr>
        <w:instrText xml:space="preserve"> PAGEREF _Toc372787032 \h </w:instrText>
      </w:r>
      <w:r w:rsidR="004241A1" w:rsidRPr="00504456">
        <w:rPr>
          <w:noProof/>
        </w:rPr>
      </w:r>
      <w:r w:rsidR="004241A1" w:rsidRPr="00504456">
        <w:rPr>
          <w:noProof/>
        </w:rPr>
        <w:fldChar w:fldCharType="separate"/>
      </w:r>
      <w:r w:rsidR="00D16035">
        <w:rPr>
          <w:noProof/>
        </w:rPr>
        <w:t>19</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3.2.</w:t>
      </w:r>
      <w:r w:rsidRPr="00504456">
        <w:rPr>
          <w:rFonts w:asciiTheme="minorHAnsi" w:eastAsiaTheme="minorEastAsia" w:hAnsiTheme="minorHAnsi" w:cstheme="minorBidi"/>
          <w:noProof/>
          <w:sz w:val="22"/>
          <w:szCs w:val="22"/>
          <w:lang w:val="en-AU" w:eastAsia="en-AU"/>
        </w:rPr>
        <w:tab/>
      </w:r>
      <w:r w:rsidRPr="00504456">
        <w:rPr>
          <w:noProof/>
        </w:rPr>
        <w:t>Consultation</w:t>
      </w:r>
      <w:r w:rsidRPr="00504456">
        <w:rPr>
          <w:noProof/>
        </w:rPr>
        <w:tab/>
      </w:r>
      <w:r w:rsidR="004241A1" w:rsidRPr="00504456">
        <w:rPr>
          <w:noProof/>
        </w:rPr>
        <w:fldChar w:fldCharType="begin"/>
      </w:r>
      <w:r w:rsidRPr="00504456">
        <w:rPr>
          <w:noProof/>
        </w:rPr>
        <w:instrText xml:space="preserve"> PAGEREF _Toc372787033 \h </w:instrText>
      </w:r>
      <w:r w:rsidR="004241A1" w:rsidRPr="00504456">
        <w:rPr>
          <w:noProof/>
        </w:rPr>
      </w:r>
      <w:r w:rsidR="004241A1" w:rsidRPr="00504456">
        <w:rPr>
          <w:noProof/>
        </w:rPr>
        <w:fldChar w:fldCharType="separate"/>
      </w:r>
      <w:r w:rsidR="00D16035">
        <w:rPr>
          <w:noProof/>
        </w:rPr>
        <w:t>20</w:t>
      </w:r>
      <w:r w:rsidR="004241A1" w:rsidRPr="00504456">
        <w:rPr>
          <w:noProof/>
        </w:rPr>
        <w:fldChar w:fldCharType="end"/>
      </w:r>
    </w:p>
    <w:p w:rsidR="00AD3A56" w:rsidRPr="00504456" w:rsidRDefault="00AD3A56">
      <w:pPr>
        <w:pStyle w:val="TOC3"/>
        <w:rPr>
          <w:rFonts w:asciiTheme="minorHAnsi" w:eastAsiaTheme="minorEastAsia" w:hAnsiTheme="minorHAnsi" w:cstheme="minorBidi"/>
          <w:lang w:val="en-AU" w:eastAsia="en-AU"/>
        </w:rPr>
      </w:pPr>
      <w:r w:rsidRPr="00504456">
        <w:t>3.2.1.</w:t>
      </w:r>
      <w:r w:rsidRPr="00504456">
        <w:rPr>
          <w:rFonts w:asciiTheme="minorHAnsi" w:eastAsiaTheme="minorEastAsia" w:hAnsiTheme="minorHAnsi" w:cstheme="minorBidi"/>
          <w:lang w:val="en-AU" w:eastAsia="en-AU"/>
        </w:rPr>
        <w:tab/>
      </w:r>
      <w:r w:rsidRPr="00504456">
        <w:t>Key consultation findings</w:t>
      </w:r>
      <w:r w:rsidRPr="00504456">
        <w:tab/>
      </w:r>
      <w:r w:rsidR="004241A1" w:rsidRPr="00504456">
        <w:fldChar w:fldCharType="begin"/>
      </w:r>
      <w:r w:rsidRPr="00504456">
        <w:instrText xml:space="preserve"> PAGEREF _Toc372787034 \h </w:instrText>
      </w:r>
      <w:r w:rsidR="004241A1" w:rsidRPr="00504456">
        <w:fldChar w:fldCharType="separate"/>
      </w:r>
      <w:r w:rsidR="00D16035">
        <w:t>20</w:t>
      </w:r>
      <w:r w:rsidR="004241A1" w:rsidRPr="00504456">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4.</w:t>
      </w:r>
      <w:r w:rsidRPr="00504456">
        <w:rPr>
          <w:rFonts w:asciiTheme="minorHAnsi" w:eastAsiaTheme="minorEastAsia" w:hAnsiTheme="minorHAnsi" w:cstheme="minorBidi"/>
          <w:b w:val="0"/>
          <w:noProof/>
          <w:color w:val="auto"/>
          <w:sz w:val="22"/>
          <w:szCs w:val="22"/>
          <w:lang w:val="en-AU" w:eastAsia="en-AU"/>
        </w:rPr>
        <w:tab/>
      </w:r>
      <w:r w:rsidRPr="00504456">
        <w:rPr>
          <w:noProof/>
        </w:rPr>
        <w:t>Policy statement</w:t>
      </w:r>
      <w:r w:rsidRPr="00504456">
        <w:rPr>
          <w:noProof/>
        </w:rPr>
        <w:tab/>
      </w:r>
      <w:r w:rsidR="004241A1" w:rsidRPr="00504456">
        <w:rPr>
          <w:noProof/>
        </w:rPr>
        <w:fldChar w:fldCharType="begin"/>
      </w:r>
      <w:r w:rsidRPr="00504456">
        <w:rPr>
          <w:noProof/>
        </w:rPr>
        <w:instrText xml:space="preserve"> PAGEREF _Toc372787035 \h </w:instrText>
      </w:r>
      <w:r w:rsidR="004241A1" w:rsidRPr="00504456">
        <w:rPr>
          <w:noProof/>
        </w:rPr>
      </w:r>
      <w:r w:rsidR="004241A1" w:rsidRPr="00504456">
        <w:rPr>
          <w:noProof/>
        </w:rPr>
        <w:fldChar w:fldCharType="separate"/>
      </w:r>
      <w:r w:rsidR="00D16035">
        <w:rPr>
          <w:noProof/>
        </w:rPr>
        <w:t>22</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4.1.</w:t>
      </w:r>
      <w:r w:rsidRPr="00504456">
        <w:rPr>
          <w:rFonts w:asciiTheme="minorHAnsi" w:eastAsiaTheme="minorEastAsia" w:hAnsiTheme="minorHAnsi" w:cstheme="minorBidi"/>
          <w:noProof/>
          <w:sz w:val="22"/>
          <w:szCs w:val="22"/>
          <w:lang w:val="en-AU" w:eastAsia="en-AU"/>
        </w:rPr>
        <w:tab/>
      </w:r>
      <w:r w:rsidRPr="00504456">
        <w:rPr>
          <w:noProof/>
        </w:rPr>
        <w:t>Goal</w:t>
      </w:r>
      <w:r w:rsidRPr="00504456">
        <w:rPr>
          <w:noProof/>
        </w:rPr>
        <w:tab/>
      </w:r>
      <w:r w:rsidR="004241A1" w:rsidRPr="00504456">
        <w:rPr>
          <w:noProof/>
        </w:rPr>
        <w:fldChar w:fldCharType="begin"/>
      </w:r>
      <w:r w:rsidRPr="00504456">
        <w:rPr>
          <w:noProof/>
        </w:rPr>
        <w:instrText xml:space="preserve"> PAGEREF _Toc372787036 \h </w:instrText>
      </w:r>
      <w:r w:rsidR="004241A1" w:rsidRPr="00504456">
        <w:rPr>
          <w:noProof/>
        </w:rPr>
      </w:r>
      <w:r w:rsidR="004241A1" w:rsidRPr="00504456">
        <w:rPr>
          <w:noProof/>
        </w:rPr>
        <w:fldChar w:fldCharType="separate"/>
      </w:r>
      <w:r w:rsidR="00D16035">
        <w:rPr>
          <w:noProof/>
        </w:rPr>
        <w:t>22</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4.2.</w:t>
      </w:r>
      <w:r w:rsidRPr="00504456">
        <w:rPr>
          <w:rFonts w:asciiTheme="minorHAnsi" w:eastAsiaTheme="minorEastAsia" w:hAnsiTheme="minorHAnsi" w:cstheme="minorBidi"/>
          <w:noProof/>
          <w:sz w:val="22"/>
          <w:szCs w:val="22"/>
          <w:lang w:val="en-AU" w:eastAsia="en-AU"/>
        </w:rPr>
        <w:tab/>
      </w:r>
      <w:r w:rsidRPr="00504456">
        <w:rPr>
          <w:noProof/>
        </w:rPr>
        <w:t>Objectives</w:t>
      </w:r>
      <w:r w:rsidRPr="00504456">
        <w:rPr>
          <w:noProof/>
        </w:rPr>
        <w:tab/>
      </w:r>
      <w:r w:rsidR="004241A1" w:rsidRPr="00504456">
        <w:rPr>
          <w:noProof/>
        </w:rPr>
        <w:fldChar w:fldCharType="begin"/>
      </w:r>
      <w:r w:rsidRPr="00504456">
        <w:rPr>
          <w:noProof/>
        </w:rPr>
        <w:instrText xml:space="preserve"> PAGEREF _Toc372787037 \h </w:instrText>
      </w:r>
      <w:r w:rsidR="004241A1" w:rsidRPr="00504456">
        <w:rPr>
          <w:noProof/>
        </w:rPr>
      </w:r>
      <w:r w:rsidR="004241A1" w:rsidRPr="00504456">
        <w:rPr>
          <w:noProof/>
        </w:rPr>
        <w:fldChar w:fldCharType="separate"/>
      </w:r>
      <w:r w:rsidR="00D16035">
        <w:rPr>
          <w:noProof/>
        </w:rPr>
        <w:t>22</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4.3.</w:t>
      </w:r>
      <w:r w:rsidRPr="00504456">
        <w:rPr>
          <w:rFonts w:asciiTheme="minorHAnsi" w:eastAsiaTheme="minorEastAsia" w:hAnsiTheme="minorHAnsi" w:cstheme="minorBidi"/>
          <w:noProof/>
          <w:sz w:val="22"/>
          <w:szCs w:val="22"/>
          <w:lang w:val="en-AU" w:eastAsia="en-AU"/>
        </w:rPr>
        <w:tab/>
      </w:r>
      <w:r w:rsidRPr="00504456">
        <w:rPr>
          <w:noProof/>
        </w:rPr>
        <w:t>Strategies</w:t>
      </w:r>
      <w:r w:rsidRPr="00504456">
        <w:rPr>
          <w:noProof/>
        </w:rPr>
        <w:tab/>
      </w:r>
      <w:r w:rsidR="004241A1" w:rsidRPr="00504456">
        <w:rPr>
          <w:noProof/>
        </w:rPr>
        <w:fldChar w:fldCharType="begin"/>
      </w:r>
      <w:r w:rsidRPr="00504456">
        <w:rPr>
          <w:noProof/>
        </w:rPr>
        <w:instrText xml:space="preserve"> PAGEREF _Toc372787038 \h </w:instrText>
      </w:r>
      <w:r w:rsidR="004241A1" w:rsidRPr="00504456">
        <w:rPr>
          <w:noProof/>
        </w:rPr>
      </w:r>
      <w:r w:rsidR="004241A1" w:rsidRPr="00504456">
        <w:rPr>
          <w:noProof/>
        </w:rPr>
        <w:fldChar w:fldCharType="separate"/>
      </w:r>
      <w:r w:rsidR="00D16035">
        <w:rPr>
          <w:noProof/>
        </w:rPr>
        <w:t>22</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4.4.</w:t>
      </w:r>
      <w:r w:rsidRPr="00504456">
        <w:rPr>
          <w:rFonts w:asciiTheme="minorHAnsi" w:eastAsiaTheme="minorEastAsia" w:hAnsiTheme="minorHAnsi" w:cstheme="minorBidi"/>
          <w:noProof/>
          <w:sz w:val="22"/>
          <w:szCs w:val="22"/>
          <w:lang w:val="en-AU" w:eastAsia="en-AU"/>
        </w:rPr>
        <w:tab/>
      </w:r>
      <w:r w:rsidRPr="00504456">
        <w:rPr>
          <w:noProof/>
        </w:rPr>
        <w:t>Applicant requirements for the social and economic impact assessment</w:t>
      </w:r>
      <w:r w:rsidRPr="00504456">
        <w:rPr>
          <w:noProof/>
        </w:rPr>
        <w:tab/>
      </w:r>
      <w:r w:rsidR="004241A1" w:rsidRPr="00504456">
        <w:rPr>
          <w:noProof/>
        </w:rPr>
        <w:fldChar w:fldCharType="begin"/>
      </w:r>
      <w:r w:rsidRPr="00504456">
        <w:rPr>
          <w:noProof/>
        </w:rPr>
        <w:instrText xml:space="preserve"> PAGEREF _Toc372787039 \h </w:instrText>
      </w:r>
      <w:r w:rsidR="004241A1" w:rsidRPr="00504456">
        <w:rPr>
          <w:noProof/>
        </w:rPr>
      </w:r>
      <w:r w:rsidR="004241A1" w:rsidRPr="00504456">
        <w:rPr>
          <w:noProof/>
        </w:rPr>
        <w:fldChar w:fldCharType="separate"/>
      </w:r>
      <w:r w:rsidR="00D16035">
        <w:rPr>
          <w:noProof/>
        </w:rPr>
        <w:t>25</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4.5.</w:t>
      </w:r>
      <w:r w:rsidRPr="00504456">
        <w:rPr>
          <w:rFonts w:asciiTheme="minorHAnsi" w:eastAsiaTheme="minorEastAsia" w:hAnsiTheme="minorHAnsi" w:cstheme="minorBidi"/>
          <w:noProof/>
          <w:sz w:val="22"/>
          <w:szCs w:val="22"/>
          <w:lang w:val="en-AU" w:eastAsia="en-AU"/>
        </w:rPr>
        <w:tab/>
      </w:r>
      <w:r w:rsidRPr="00504456">
        <w:rPr>
          <w:noProof/>
        </w:rPr>
        <w:t>Council assessment process</w:t>
      </w:r>
      <w:r w:rsidRPr="00504456">
        <w:rPr>
          <w:noProof/>
        </w:rPr>
        <w:tab/>
      </w:r>
      <w:r w:rsidR="004241A1" w:rsidRPr="00504456">
        <w:rPr>
          <w:noProof/>
        </w:rPr>
        <w:fldChar w:fldCharType="begin"/>
      </w:r>
      <w:r w:rsidRPr="00504456">
        <w:rPr>
          <w:noProof/>
        </w:rPr>
        <w:instrText xml:space="preserve"> PAGEREF _Toc372787040 \h </w:instrText>
      </w:r>
      <w:r w:rsidR="004241A1" w:rsidRPr="00504456">
        <w:rPr>
          <w:noProof/>
        </w:rPr>
      </w:r>
      <w:r w:rsidR="004241A1" w:rsidRPr="00504456">
        <w:rPr>
          <w:noProof/>
        </w:rPr>
        <w:fldChar w:fldCharType="separate"/>
      </w:r>
      <w:r w:rsidR="00D16035">
        <w:rPr>
          <w:noProof/>
        </w:rPr>
        <w:t>28</w:t>
      </w:r>
      <w:r w:rsidR="004241A1" w:rsidRPr="00504456">
        <w:rPr>
          <w:noProof/>
        </w:rPr>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5.</w:t>
      </w:r>
      <w:r w:rsidRPr="00504456">
        <w:rPr>
          <w:rFonts w:asciiTheme="minorHAnsi" w:eastAsiaTheme="minorEastAsia" w:hAnsiTheme="minorHAnsi" w:cstheme="minorBidi"/>
          <w:b w:val="0"/>
          <w:noProof/>
          <w:color w:val="auto"/>
          <w:sz w:val="22"/>
          <w:szCs w:val="22"/>
          <w:lang w:val="en-AU" w:eastAsia="en-AU"/>
        </w:rPr>
        <w:tab/>
      </w:r>
      <w:r w:rsidRPr="00504456">
        <w:rPr>
          <w:noProof/>
        </w:rPr>
        <w:t>Implementation and monitoring</w:t>
      </w:r>
      <w:r w:rsidRPr="00504456">
        <w:rPr>
          <w:noProof/>
        </w:rPr>
        <w:tab/>
      </w:r>
      <w:r w:rsidR="004241A1" w:rsidRPr="00504456">
        <w:rPr>
          <w:noProof/>
        </w:rPr>
        <w:fldChar w:fldCharType="begin"/>
      </w:r>
      <w:r w:rsidRPr="00504456">
        <w:rPr>
          <w:noProof/>
        </w:rPr>
        <w:instrText xml:space="preserve"> PAGEREF _Toc372787041 \h </w:instrText>
      </w:r>
      <w:r w:rsidR="004241A1" w:rsidRPr="00504456">
        <w:rPr>
          <w:noProof/>
        </w:rPr>
      </w:r>
      <w:r w:rsidR="004241A1" w:rsidRPr="00504456">
        <w:rPr>
          <w:noProof/>
        </w:rPr>
        <w:fldChar w:fldCharType="separate"/>
      </w:r>
      <w:r w:rsidR="00D16035">
        <w:rPr>
          <w:noProof/>
        </w:rPr>
        <w:t>29</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5.1.</w:t>
      </w:r>
      <w:r w:rsidRPr="00504456">
        <w:rPr>
          <w:rFonts w:asciiTheme="minorHAnsi" w:eastAsiaTheme="minorEastAsia" w:hAnsiTheme="minorHAnsi" w:cstheme="minorBidi"/>
          <w:noProof/>
          <w:sz w:val="22"/>
          <w:szCs w:val="22"/>
          <w:lang w:val="en-AU" w:eastAsia="en-AU"/>
        </w:rPr>
        <w:tab/>
      </w:r>
      <w:r w:rsidRPr="00504456">
        <w:rPr>
          <w:noProof/>
        </w:rPr>
        <w:t>Implementation</w:t>
      </w:r>
      <w:r w:rsidRPr="00504456">
        <w:rPr>
          <w:noProof/>
        </w:rPr>
        <w:tab/>
      </w:r>
      <w:r w:rsidR="004241A1" w:rsidRPr="00504456">
        <w:rPr>
          <w:noProof/>
        </w:rPr>
        <w:fldChar w:fldCharType="begin"/>
      </w:r>
      <w:r w:rsidRPr="00504456">
        <w:rPr>
          <w:noProof/>
        </w:rPr>
        <w:instrText xml:space="preserve"> PAGEREF _Toc372787042 \h </w:instrText>
      </w:r>
      <w:r w:rsidR="004241A1" w:rsidRPr="00504456">
        <w:rPr>
          <w:noProof/>
        </w:rPr>
      </w:r>
      <w:r w:rsidR="004241A1" w:rsidRPr="00504456">
        <w:rPr>
          <w:noProof/>
        </w:rPr>
        <w:fldChar w:fldCharType="separate"/>
      </w:r>
      <w:r w:rsidR="00D16035">
        <w:rPr>
          <w:noProof/>
        </w:rPr>
        <w:t>29</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5.2.</w:t>
      </w:r>
      <w:r w:rsidRPr="00504456">
        <w:rPr>
          <w:rFonts w:asciiTheme="minorHAnsi" w:eastAsiaTheme="minorEastAsia" w:hAnsiTheme="minorHAnsi" w:cstheme="minorBidi"/>
          <w:noProof/>
          <w:sz w:val="22"/>
          <w:szCs w:val="22"/>
          <w:lang w:val="en-AU" w:eastAsia="en-AU"/>
        </w:rPr>
        <w:tab/>
      </w:r>
      <w:r w:rsidRPr="00504456">
        <w:rPr>
          <w:noProof/>
        </w:rPr>
        <w:t>Financial implications</w:t>
      </w:r>
      <w:r w:rsidRPr="00504456">
        <w:rPr>
          <w:noProof/>
        </w:rPr>
        <w:tab/>
      </w:r>
      <w:r w:rsidR="004241A1" w:rsidRPr="00504456">
        <w:rPr>
          <w:noProof/>
        </w:rPr>
        <w:fldChar w:fldCharType="begin"/>
      </w:r>
      <w:r w:rsidRPr="00504456">
        <w:rPr>
          <w:noProof/>
        </w:rPr>
        <w:instrText xml:space="preserve"> PAGEREF _Toc372787043 \h </w:instrText>
      </w:r>
      <w:r w:rsidR="004241A1" w:rsidRPr="00504456">
        <w:rPr>
          <w:noProof/>
        </w:rPr>
      </w:r>
      <w:r w:rsidR="004241A1" w:rsidRPr="00504456">
        <w:rPr>
          <w:noProof/>
        </w:rPr>
        <w:fldChar w:fldCharType="separate"/>
      </w:r>
      <w:r w:rsidR="00D16035">
        <w:rPr>
          <w:noProof/>
        </w:rPr>
        <w:t>30</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5.3.</w:t>
      </w:r>
      <w:r w:rsidRPr="00504456">
        <w:rPr>
          <w:rFonts w:asciiTheme="minorHAnsi" w:eastAsiaTheme="minorEastAsia" w:hAnsiTheme="minorHAnsi" w:cstheme="minorBidi"/>
          <w:noProof/>
          <w:sz w:val="22"/>
          <w:szCs w:val="22"/>
          <w:lang w:val="en-AU" w:eastAsia="en-AU"/>
        </w:rPr>
        <w:tab/>
      </w:r>
      <w:r w:rsidRPr="00504456">
        <w:rPr>
          <w:noProof/>
        </w:rPr>
        <w:t>Monitoring</w:t>
      </w:r>
      <w:r w:rsidRPr="00504456">
        <w:rPr>
          <w:noProof/>
        </w:rPr>
        <w:tab/>
      </w:r>
      <w:r w:rsidR="004241A1" w:rsidRPr="00504456">
        <w:rPr>
          <w:noProof/>
        </w:rPr>
        <w:fldChar w:fldCharType="begin"/>
      </w:r>
      <w:r w:rsidRPr="00504456">
        <w:rPr>
          <w:noProof/>
        </w:rPr>
        <w:instrText xml:space="preserve"> PAGEREF _Toc372787044 \h </w:instrText>
      </w:r>
      <w:r w:rsidR="004241A1" w:rsidRPr="00504456">
        <w:rPr>
          <w:noProof/>
        </w:rPr>
      </w:r>
      <w:r w:rsidR="004241A1" w:rsidRPr="00504456">
        <w:rPr>
          <w:noProof/>
        </w:rPr>
        <w:fldChar w:fldCharType="separate"/>
      </w:r>
      <w:r w:rsidR="00D16035">
        <w:rPr>
          <w:noProof/>
        </w:rPr>
        <w:t>30</w:t>
      </w:r>
      <w:r w:rsidR="004241A1" w:rsidRPr="00504456">
        <w:rPr>
          <w:noProof/>
        </w:rPr>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6.</w:t>
      </w:r>
      <w:r w:rsidRPr="00504456">
        <w:rPr>
          <w:rFonts w:asciiTheme="minorHAnsi" w:eastAsiaTheme="minorEastAsia" w:hAnsiTheme="minorHAnsi" w:cstheme="minorBidi"/>
          <w:b w:val="0"/>
          <w:noProof/>
          <w:color w:val="auto"/>
          <w:sz w:val="22"/>
          <w:szCs w:val="22"/>
          <w:lang w:val="en-AU" w:eastAsia="en-AU"/>
        </w:rPr>
        <w:tab/>
      </w:r>
      <w:r w:rsidRPr="00504456">
        <w:rPr>
          <w:noProof/>
        </w:rPr>
        <w:t>References</w:t>
      </w:r>
      <w:r w:rsidRPr="00504456">
        <w:rPr>
          <w:noProof/>
        </w:rPr>
        <w:tab/>
      </w:r>
      <w:r w:rsidR="004241A1" w:rsidRPr="00504456">
        <w:rPr>
          <w:noProof/>
        </w:rPr>
        <w:fldChar w:fldCharType="begin"/>
      </w:r>
      <w:r w:rsidRPr="00504456">
        <w:rPr>
          <w:noProof/>
        </w:rPr>
        <w:instrText xml:space="preserve"> PAGEREF _Toc372787045 \h </w:instrText>
      </w:r>
      <w:r w:rsidR="004241A1" w:rsidRPr="00504456">
        <w:rPr>
          <w:noProof/>
        </w:rPr>
      </w:r>
      <w:r w:rsidR="004241A1" w:rsidRPr="00504456">
        <w:rPr>
          <w:noProof/>
        </w:rPr>
        <w:fldChar w:fldCharType="separate"/>
      </w:r>
      <w:r w:rsidR="00D16035">
        <w:rPr>
          <w:noProof/>
        </w:rPr>
        <w:t>30</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6.1.</w:t>
      </w:r>
      <w:r w:rsidRPr="00504456">
        <w:rPr>
          <w:rFonts w:asciiTheme="minorHAnsi" w:eastAsiaTheme="minorEastAsia" w:hAnsiTheme="minorHAnsi" w:cstheme="minorBidi"/>
          <w:noProof/>
          <w:sz w:val="22"/>
          <w:szCs w:val="22"/>
          <w:lang w:val="en-AU" w:eastAsia="en-AU"/>
        </w:rPr>
        <w:tab/>
      </w:r>
      <w:r w:rsidRPr="00504456">
        <w:rPr>
          <w:noProof/>
        </w:rPr>
        <w:t>Related documents</w:t>
      </w:r>
      <w:r w:rsidRPr="00504456">
        <w:rPr>
          <w:noProof/>
        </w:rPr>
        <w:tab/>
      </w:r>
      <w:r w:rsidR="004241A1" w:rsidRPr="00504456">
        <w:rPr>
          <w:noProof/>
        </w:rPr>
        <w:fldChar w:fldCharType="begin"/>
      </w:r>
      <w:r w:rsidRPr="00504456">
        <w:rPr>
          <w:noProof/>
        </w:rPr>
        <w:instrText xml:space="preserve"> PAGEREF _Toc372787046 \h </w:instrText>
      </w:r>
      <w:r w:rsidR="004241A1" w:rsidRPr="00504456">
        <w:rPr>
          <w:noProof/>
        </w:rPr>
      </w:r>
      <w:r w:rsidR="004241A1" w:rsidRPr="00504456">
        <w:rPr>
          <w:noProof/>
        </w:rPr>
        <w:fldChar w:fldCharType="separate"/>
      </w:r>
      <w:r w:rsidR="00D16035">
        <w:rPr>
          <w:noProof/>
        </w:rPr>
        <w:t>30</w:t>
      </w:r>
      <w:r w:rsidR="004241A1" w:rsidRPr="00504456">
        <w:rPr>
          <w:noProof/>
        </w:rPr>
        <w:fldChar w:fldCharType="end"/>
      </w:r>
    </w:p>
    <w:p w:rsidR="00AD3A56" w:rsidRPr="00504456" w:rsidRDefault="00AD3A56">
      <w:pPr>
        <w:pStyle w:val="TOC2"/>
        <w:rPr>
          <w:rFonts w:asciiTheme="minorHAnsi" w:eastAsiaTheme="minorEastAsia" w:hAnsiTheme="minorHAnsi" w:cstheme="minorBidi"/>
          <w:noProof/>
          <w:sz w:val="22"/>
          <w:szCs w:val="22"/>
          <w:lang w:val="en-AU" w:eastAsia="en-AU"/>
        </w:rPr>
      </w:pPr>
      <w:r w:rsidRPr="00504456">
        <w:rPr>
          <w:noProof/>
        </w:rPr>
        <w:t>6.2.</w:t>
      </w:r>
      <w:r w:rsidRPr="00504456">
        <w:rPr>
          <w:rFonts w:asciiTheme="minorHAnsi" w:eastAsiaTheme="minorEastAsia" w:hAnsiTheme="minorHAnsi" w:cstheme="minorBidi"/>
          <w:noProof/>
          <w:sz w:val="22"/>
          <w:szCs w:val="22"/>
          <w:lang w:val="en-AU" w:eastAsia="en-AU"/>
        </w:rPr>
        <w:tab/>
      </w:r>
      <w:r w:rsidRPr="00504456">
        <w:rPr>
          <w:noProof/>
        </w:rPr>
        <w:t>Other references</w:t>
      </w:r>
      <w:r w:rsidRPr="00504456">
        <w:rPr>
          <w:noProof/>
        </w:rPr>
        <w:tab/>
      </w:r>
      <w:r w:rsidR="004241A1" w:rsidRPr="00504456">
        <w:rPr>
          <w:noProof/>
        </w:rPr>
        <w:fldChar w:fldCharType="begin"/>
      </w:r>
      <w:r w:rsidRPr="00504456">
        <w:rPr>
          <w:noProof/>
        </w:rPr>
        <w:instrText xml:space="preserve"> PAGEREF _Toc372787047 \h </w:instrText>
      </w:r>
      <w:r w:rsidR="004241A1" w:rsidRPr="00504456">
        <w:rPr>
          <w:noProof/>
        </w:rPr>
      </w:r>
      <w:r w:rsidR="004241A1" w:rsidRPr="00504456">
        <w:rPr>
          <w:noProof/>
        </w:rPr>
        <w:fldChar w:fldCharType="separate"/>
      </w:r>
      <w:r w:rsidR="00D16035">
        <w:rPr>
          <w:noProof/>
        </w:rPr>
        <w:t>30</w:t>
      </w:r>
      <w:r w:rsidR="004241A1" w:rsidRPr="00504456">
        <w:rPr>
          <w:noProof/>
        </w:rPr>
        <w:fldChar w:fldCharType="end"/>
      </w:r>
    </w:p>
    <w:p w:rsidR="00AD3A56" w:rsidRPr="00504456" w:rsidRDefault="00AD3A56">
      <w:pPr>
        <w:pStyle w:val="TOC1"/>
        <w:rPr>
          <w:rFonts w:asciiTheme="minorHAnsi" w:eastAsiaTheme="minorEastAsia" w:hAnsiTheme="minorHAnsi" w:cstheme="minorBidi"/>
          <w:b w:val="0"/>
          <w:noProof/>
          <w:color w:val="auto"/>
          <w:sz w:val="22"/>
          <w:szCs w:val="22"/>
          <w:lang w:val="en-AU" w:eastAsia="en-AU"/>
        </w:rPr>
      </w:pPr>
      <w:r w:rsidRPr="00504456">
        <w:rPr>
          <w:noProof/>
        </w:rPr>
        <w:t>7.</w:t>
      </w:r>
      <w:r w:rsidRPr="00504456">
        <w:rPr>
          <w:rFonts w:asciiTheme="minorHAnsi" w:eastAsiaTheme="minorEastAsia" w:hAnsiTheme="minorHAnsi" w:cstheme="minorBidi"/>
          <w:b w:val="0"/>
          <w:noProof/>
          <w:color w:val="auto"/>
          <w:sz w:val="22"/>
          <w:szCs w:val="22"/>
          <w:lang w:val="en-AU" w:eastAsia="en-AU"/>
        </w:rPr>
        <w:tab/>
      </w:r>
      <w:r w:rsidRPr="00504456">
        <w:rPr>
          <w:noProof/>
        </w:rPr>
        <w:t>Appendices</w:t>
      </w:r>
      <w:r w:rsidRPr="00504456">
        <w:rPr>
          <w:noProof/>
        </w:rPr>
        <w:tab/>
      </w:r>
      <w:r w:rsidR="004241A1" w:rsidRPr="00504456">
        <w:rPr>
          <w:noProof/>
        </w:rPr>
        <w:fldChar w:fldCharType="begin"/>
      </w:r>
      <w:r w:rsidRPr="00504456">
        <w:rPr>
          <w:noProof/>
        </w:rPr>
        <w:instrText xml:space="preserve"> PAGEREF _Toc372787048 \h </w:instrText>
      </w:r>
      <w:r w:rsidR="004241A1" w:rsidRPr="00504456">
        <w:rPr>
          <w:noProof/>
        </w:rPr>
      </w:r>
      <w:r w:rsidR="004241A1" w:rsidRPr="00504456">
        <w:rPr>
          <w:noProof/>
        </w:rPr>
        <w:fldChar w:fldCharType="separate"/>
      </w:r>
      <w:r w:rsidR="00D16035">
        <w:rPr>
          <w:noProof/>
        </w:rPr>
        <w:t>32</w:t>
      </w:r>
      <w:r w:rsidR="004241A1" w:rsidRPr="00504456">
        <w:rPr>
          <w:noProof/>
        </w:rPr>
        <w:fldChar w:fldCharType="end"/>
      </w:r>
    </w:p>
    <w:p w:rsidR="00A14868" w:rsidRPr="00504456" w:rsidRDefault="004241A1" w:rsidP="00A14868">
      <w:pPr>
        <w:pStyle w:val="Heading1"/>
      </w:pPr>
      <w:r w:rsidRPr="00504456">
        <w:lastRenderedPageBreak/>
        <w:fldChar w:fldCharType="end"/>
      </w:r>
      <w:bookmarkStart w:id="1" w:name="_Toc352937966"/>
      <w:bookmarkStart w:id="2" w:name="_Toc372787017"/>
      <w:bookmarkEnd w:id="1"/>
      <w:r w:rsidR="00A14868" w:rsidRPr="00504456">
        <w:t>Introduction</w:t>
      </w:r>
      <w:bookmarkEnd w:id="2"/>
    </w:p>
    <w:p w:rsidR="00A14868" w:rsidRPr="00504456" w:rsidRDefault="00A14868" w:rsidP="00A14868">
      <w:pPr>
        <w:rPr>
          <w:rFonts w:ascii="Arial" w:hAnsi="Arial" w:cs="Arial"/>
          <w:color w:val="000000"/>
        </w:rPr>
      </w:pPr>
      <w:r w:rsidRPr="00504456">
        <w:rPr>
          <w:rFonts w:ascii="Arial" w:hAnsi="Arial" w:cs="Arial"/>
          <w:color w:val="000000"/>
        </w:rPr>
        <w:t xml:space="preserve">Council </w:t>
      </w:r>
      <w:proofErr w:type="spellStart"/>
      <w:r w:rsidRPr="00504456">
        <w:rPr>
          <w:rFonts w:ascii="Arial" w:hAnsi="Arial" w:cs="Arial"/>
          <w:color w:val="000000"/>
        </w:rPr>
        <w:t>recognises</w:t>
      </w:r>
      <w:proofErr w:type="spellEnd"/>
      <w:r w:rsidRPr="00504456">
        <w:rPr>
          <w:rFonts w:ascii="Arial" w:hAnsi="Arial" w:cs="Arial"/>
          <w:color w:val="000000"/>
        </w:rPr>
        <w:t xml:space="preserve"> that gambling is a lawful activity that can provide entertainment, recreation and </w:t>
      </w:r>
      <w:proofErr w:type="spellStart"/>
      <w:r w:rsidRPr="00504456">
        <w:rPr>
          <w:rFonts w:ascii="Arial" w:hAnsi="Arial" w:cs="Arial"/>
          <w:color w:val="000000"/>
        </w:rPr>
        <w:t>socialising</w:t>
      </w:r>
      <w:proofErr w:type="spellEnd"/>
      <w:r w:rsidRPr="00504456">
        <w:rPr>
          <w:rFonts w:ascii="Arial" w:hAnsi="Arial" w:cs="Arial"/>
          <w:color w:val="000000"/>
        </w:rPr>
        <w:t xml:space="preserve"> opportunities. While the majority of people who gamble do so without experiencing adverse effects, </w:t>
      </w:r>
      <w:r w:rsidR="00F20E1B" w:rsidRPr="00504456">
        <w:rPr>
          <w:rFonts w:ascii="Arial" w:hAnsi="Arial" w:cs="Arial"/>
          <w:color w:val="000000"/>
        </w:rPr>
        <w:t>some</w:t>
      </w:r>
      <w:r w:rsidRPr="00504456">
        <w:rPr>
          <w:rFonts w:ascii="Arial" w:hAnsi="Arial" w:cs="Arial"/>
          <w:color w:val="000000"/>
        </w:rPr>
        <w:t xml:space="preserve"> people gamble excessively and experience a variety of personal, family and financial problems.  </w:t>
      </w:r>
    </w:p>
    <w:p w:rsidR="00A14868" w:rsidRPr="00504456" w:rsidRDefault="00A14868" w:rsidP="00A14868">
      <w:pPr>
        <w:rPr>
          <w:rFonts w:ascii="Arial" w:hAnsi="Arial" w:cs="Arial"/>
          <w:color w:val="000000"/>
        </w:rPr>
      </w:pPr>
    </w:p>
    <w:p w:rsidR="00A14868" w:rsidRPr="00504456" w:rsidRDefault="00A14868" w:rsidP="00A14868">
      <w:pPr>
        <w:rPr>
          <w:rFonts w:ascii="Arial" w:hAnsi="Arial" w:cs="Arial"/>
          <w:color w:val="000000"/>
        </w:rPr>
      </w:pPr>
      <w:r w:rsidRPr="00504456">
        <w:rPr>
          <w:rFonts w:ascii="Arial" w:hAnsi="Arial" w:cs="Arial"/>
          <w:color w:val="000000"/>
        </w:rPr>
        <w:t xml:space="preserve">Since the proliferation of </w:t>
      </w:r>
      <w:r w:rsidR="004200AC" w:rsidRPr="00504456">
        <w:rPr>
          <w:rFonts w:ascii="Arial" w:hAnsi="Arial" w:cs="Arial"/>
          <w:color w:val="000000"/>
        </w:rPr>
        <w:t>e</w:t>
      </w:r>
      <w:r w:rsidRPr="00504456">
        <w:rPr>
          <w:rFonts w:ascii="Arial" w:hAnsi="Arial" w:cs="Arial"/>
          <w:color w:val="000000"/>
        </w:rPr>
        <w:t xml:space="preserve">lectronic </w:t>
      </w:r>
      <w:r w:rsidR="004200AC" w:rsidRPr="00504456">
        <w:rPr>
          <w:rFonts w:ascii="Arial" w:hAnsi="Arial" w:cs="Arial"/>
          <w:color w:val="000000"/>
        </w:rPr>
        <w:t>g</w:t>
      </w:r>
      <w:r w:rsidRPr="00504456">
        <w:rPr>
          <w:rFonts w:ascii="Arial" w:hAnsi="Arial" w:cs="Arial"/>
          <w:color w:val="000000"/>
        </w:rPr>
        <w:t xml:space="preserve">aming </w:t>
      </w:r>
      <w:r w:rsidR="004200AC" w:rsidRPr="00504456">
        <w:rPr>
          <w:rFonts w:ascii="Arial" w:hAnsi="Arial" w:cs="Arial"/>
          <w:color w:val="000000"/>
        </w:rPr>
        <w:t>m</w:t>
      </w:r>
      <w:r w:rsidRPr="00504456">
        <w:rPr>
          <w:rFonts w:ascii="Arial" w:hAnsi="Arial" w:cs="Arial"/>
          <w:color w:val="000000"/>
        </w:rPr>
        <w:t>achines (</w:t>
      </w:r>
      <w:proofErr w:type="spellStart"/>
      <w:r w:rsidRPr="00504456">
        <w:rPr>
          <w:rFonts w:ascii="Arial" w:hAnsi="Arial" w:cs="Arial"/>
          <w:color w:val="000000"/>
        </w:rPr>
        <w:t>EGMs</w:t>
      </w:r>
      <w:proofErr w:type="spellEnd"/>
      <w:r w:rsidRPr="00504456">
        <w:rPr>
          <w:rFonts w:ascii="Arial" w:hAnsi="Arial" w:cs="Arial"/>
          <w:color w:val="000000"/>
        </w:rPr>
        <w:t xml:space="preserve">) in the early 1990s, Council has become increasingly aware of the community's concern about the detrimental impact that </w:t>
      </w:r>
      <w:proofErr w:type="spellStart"/>
      <w:r w:rsidRPr="00504456">
        <w:rPr>
          <w:rFonts w:ascii="Arial" w:hAnsi="Arial" w:cs="Arial"/>
          <w:color w:val="000000"/>
        </w:rPr>
        <w:t>EGMs</w:t>
      </w:r>
      <w:proofErr w:type="spellEnd"/>
      <w:r w:rsidRPr="00504456">
        <w:rPr>
          <w:rFonts w:ascii="Arial" w:hAnsi="Arial" w:cs="Arial"/>
          <w:color w:val="000000"/>
        </w:rPr>
        <w:t xml:space="preserve"> can have on some members of the community.</w:t>
      </w:r>
      <w:r w:rsidRPr="00504456">
        <w:rPr>
          <w:rFonts w:ascii="Arial" w:hAnsi="Arial" w:cs="Arial"/>
          <w:color w:val="FF0000"/>
        </w:rPr>
        <w:t xml:space="preserve"> </w:t>
      </w:r>
      <w:r w:rsidRPr="00504456">
        <w:rPr>
          <w:rFonts w:ascii="Arial" w:hAnsi="Arial" w:cs="Arial"/>
          <w:color w:val="000000"/>
        </w:rPr>
        <w:t xml:space="preserve">Council is also aware that </w:t>
      </w:r>
      <w:proofErr w:type="spellStart"/>
      <w:r w:rsidRPr="00504456">
        <w:rPr>
          <w:rFonts w:ascii="Arial" w:hAnsi="Arial" w:cs="Arial"/>
          <w:color w:val="000000"/>
        </w:rPr>
        <w:t>EGM</w:t>
      </w:r>
      <w:proofErr w:type="spellEnd"/>
      <w:r w:rsidRPr="00504456">
        <w:rPr>
          <w:rFonts w:ascii="Arial" w:hAnsi="Arial" w:cs="Arial"/>
          <w:color w:val="000000"/>
        </w:rPr>
        <w:t xml:space="preserve"> gambling poses significant risks compared to other types of gambling, and this differentiates it from other enjoyable recreational activities. For these reasons, and as Council </w:t>
      </w:r>
      <w:r w:rsidR="006A3214" w:rsidRPr="00504456">
        <w:rPr>
          <w:rFonts w:ascii="Arial" w:hAnsi="Arial" w:cs="Arial"/>
          <w:color w:val="000000"/>
        </w:rPr>
        <w:t>is</w:t>
      </w:r>
      <w:r w:rsidR="003202CF" w:rsidRPr="00504456">
        <w:rPr>
          <w:rFonts w:ascii="Arial" w:hAnsi="Arial" w:cs="Arial"/>
          <w:color w:val="000000"/>
        </w:rPr>
        <w:t xml:space="preserve"> </w:t>
      </w:r>
      <w:r w:rsidRPr="00504456">
        <w:rPr>
          <w:rFonts w:ascii="Arial" w:hAnsi="Arial" w:cs="Arial"/>
          <w:color w:val="000000"/>
        </w:rPr>
        <w:t>responsib</w:t>
      </w:r>
      <w:r w:rsidR="00A547D1" w:rsidRPr="00504456">
        <w:rPr>
          <w:rFonts w:ascii="Arial" w:hAnsi="Arial" w:cs="Arial"/>
          <w:color w:val="000000"/>
        </w:rPr>
        <w:t>le</w:t>
      </w:r>
      <w:r w:rsidRPr="00504456">
        <w:rPr>
          <w:rFonts w:ascii="Arial" w:hAnsi="Arial" w:cs="Arial"/>
          <w:color w:val="000000"/>
        </w:rPr>
        <w:t xml:space="preserve"> </w:t>
      </w:r>
      <w:r w:rsidR="00F20E1B" w:rsidRPr="00504456">
        <w:rPr>
          <w:rFonts w:ascii="Arial" w:hAnsi="Arial" w:cs="Arial"/>
          <w:color w:val="000000"/>
        </w:rPr>
        <w:t xml:space="preserve">for the approval of </w:t>
      </w:r>
      <w:r w:rsidRPr="00504456">
        <w:rPr>
          <w:rFonts w:ascii="Arial" w:hAnsi="Arial" w:cs="Arial"/>
          <w:color w:val="000000"/>
        </w:rPr>
        <w:t>planning permit</w:t>
      </w:r>
      <w:r w:rsidR="00F20E1B" w:rsidRPr="00504456">
        <w:rPr>
          <w:rFonts w:ascii="Arial" w:hAnsi="Arial" w:cs="Arial"/>
          <w:color w:val="000000"/>
        </w:rPr>
        <w:t>s</w:t>
      </w:r>
      <w:r w:rsidR="00116C76" w:rsidRPr="00504456">
        <w:rPr>
          <w:rFonts w:ascii="Arial" w:hAnsi="Arial" w:cs="Arial"/>
          <w:color w:val="000000"/>
        </w:rPr>
        <w:t xml:space="preserve"> for </w:t>
      </w:r>
      <w:proofErr w:type="spellStart"/>
      <w:r w:rsidR="00116C76" w:rsidRPr="00504456">
        <w:rPr>
          <w:rFonts w:ascii="Arial" w:hAnsi="Arial" w:cs="Arial"/>
          <w:color w:val="000000"/>
        </w:rPr>
        <w:t>EGMs</w:t>
      </w:r>
      <w:proofErr w:type="spellEnd"/>
      <w:r w:rsidR="00A547D1" w:rsidRPr="00504456">
        <w:rPr>
          <w:rFonts w:ascii="Arial" w:hAnsi="Arial" w:cs="Arial"/>
          <w:color w:val="000000"/>
        </w:rPr>
        <w:t>,</w:t>
      </w:r>
      <w:r w:rsidR="00635E16" w:rsidRPr="00504456">
        <w:rPr>
          <w:rFonts w:ascii="Arial" w:hAnsi="Arial" w:cs="Arial"/>
          <w:color w:val="000000"/>
        </w:rPr>
        <w:t xml:space="preserve"> and is </w:t>
      </w:r>
      <w:r w:rsidR="004D31A7" w:rsidRPr="00504456">
        <w:rPr>
          <w:rFonts w:ascii="Arial" w:hAnsi="Arial" w:cs="Arial"/>
          <w:color w:val="000000"/>
        </w:rPr>
        <w:t xml:space="preserve">able </w:t>
      </w:r>
      <w:r w:rsidR="00635E16" w:rsidRPr="00504456">
        <w:rPr>
          <w:rFonts w:ascii="Arial" w:hAnsi="Arial" w:cs="Arial"/>
          <w:color w:val="000000"/>
        </w:rPr>
        <w:t xml:space="preserve">to make submissions </w:t>
      </w:r>
      <w:r w:rsidR="00D82763" w:rsidRPr="00504456">
        <w:rPr>
          <w:rFonts w:ascii="Arial" w:hAnsi="Arial" w:cs="Arial"/>
          <w:color w:val="000000"/>
        </w:rPr>
        <w:t>to the Victorian Commission for Gambling and Liquor Regulation (</w:t>
      </w:r>
      <w:proofErr w:type="spellStart"/>
      <w:r w:rsidR="00D82763" w:rsidRPr="00504456">
        <w:rPr>
          <w:rFonts w:ascii="Arial" w:hAnsi="Arial" w:cs="Arial"/>
          <w:color w:val="000000"/>
        </w:rPr>
        <w:t>VCGLR</w:t>
      </w:r>
      <w:proofErr w:type="spellEnd"/>
      <w:r w:rsidR="00D82763" w:rsidRPr="00504456">
        <w:rPr>
          <w:rFonts w:ascii="Arial" w:hAnsi="Arial" w:cs="Arial"/>
          <w:color w:val="000000"/>
        </w:rPr>
        <w:t xml:space="preserve">) </w:t>
      </w:r>
      <w:r w:rsidR="00635E16" w:rsidRPr="00504456">
        <w:rPr>
          <w:rFonts w:ascii="Arial" w:hAnsi="Arial" w:cs="Arial"/>
          <w:color w:val="000000"/>
        </w:rPr>
        <w:t xml:space="preserve">on </w:t>
      </w:r>
      <w:r w:rsidR="00F81CA5" w:rsidRPr="00504456">
        <w:rPr>
          <w:rFonts w:ascii="Arial" w:hAnsi="Arial" w:cs="Arial"/>
          <w:color w:val="000000"/>
        </w:rPr>
        <w:t>gaming</w:t>
      </w:r>
      <w:r w:rsidR="00635E16" w:rsidRPr="00504456">
        <w:rPr>
          <w:rFonts w:ascii="Arial" w:hAnsi="Arial" w:cs="Arial"/>
          <w:color w:val="000000"/>
        </w:rPr>
        <w:t xml:space="preserve"> </w:t>
      </w:r>
      <w:proofErr w:type="spellStart"/>
      <w:r w:rsidR="00C11980" w:rsidRPr="00504456">
        <w:rPr>
          <w:rFonts w:ascii="Arial" w:hAnsi="Arial" w:cs="Arial"/>
          <w:color w:val="000000"/>
        </w:rPr>
        <w:t>licen</w:t>
      </w:r>
      <w:r w:rsidR="00CC5D5A" w:rsidRPr="00504456">
        <w:rPr>
          <w:rFonts w:ascii="Arial" w:hAnsi="Arial" w:cs="Arial"/>
          <w:color w:val="000000"/>
        </w:rPr>
        <w:t>ce</w:t>
      </w:r>
      <w:proofErr w:type="spellEnd"/>
      <w:r w:rsidR="00C11980" w:rsidRPr="00504456">
        <w:rPr>
          <w:rFonts w:ascii="Arial" w:hAnsi="Arial" w:cs="Arial"/>
          <w:color w:val="000000"/>
        </w:rPr>
        <w:t xml:space="preserve"> </w:t>
      </w:r>
      <w:r w:rsidR="00635E16" w:rsidRPr="00504456">
        <w:rPr>
          <w:rFonts w:ascii="Arial" w:hAnsi="Arial" w:cs="Arial"/>
          <w:color w:val="000000"/>
        </w:rPr>
        <w:t>applications,</w:t>
      </w:r>
      <w:r w:rsidRPr="00504456">
        <w:rPr>
          <w:rFonts w:ascii="Arial" w:hAnsi="Arial" w:cs="Arial"/>
          <w:color w:val="000000"/>
        </w:rPr>
        <w:t xml:space="preserve"> the primary focus of this policy is on </w:t>
      </w:r>
      <w:proofErr w:type="spellStart"/>
      <w:r w:rsidRPr="00504456">
        <w:rPr>
          <w:rFonts w:ascii="Arial" w:hAnsi="Arial" w:cs="Arial"/>
          <w:color w:val="000000"/>
        </w:rPr>
        <w:t>EGM</w:t>
      </w:r>
      <w:proofErr w:type="spellEnd"/>
      <w:r w:rsidRPr="00504456">
        <w:rPr>
          <w:rFonts w:ascii="Arial" w:hAnsi="Arial" w:cs="Arial"/>
          <w:color w:val="000000"/>
        </w:rPr>
        <w:t xml:space="preserve"> gambling.</w:t>
      </w:r>
      <w:r w:rsidR="00300713" w:rsidRPr="00504456">
        <w:rPr>
          <w:rFonts w:ascii="Arial" w:hAnsi="Arial" w:cs="Arial"/>
          <w:color w:val="000000"/>
        </w:rPr>
        <w:t xml:space="preserve"> </w:t>
      </w:r>
      <w:r w:rsidRPr="00504456">
        <w:rPr>
          <w:rFonts w:ascii="Arial" w:hAnsi="Arial" w:cs="Arial"/>
          <w:color w:val="000000"/>
        </w:rPr>
        <w:t xml:space="preserve">However, Council </w:t>
      </w:r>
      <w:r w:rsidR="009F258A" w:rsidRPr="00504456">
        <w:rPr>
          <w:rFonts w:ascii="Arial" w:hAnsi="Arial" w:cs="Arial"/>
          <w:color w:val="000000"/>
        </w:rPr>
        <w:t xml:space="preserve">also </w:t>
      </w:r>
      <w:r w:rsidRPr="00504456">
        <w:rPr>
          <w:rFonts w:ascii="Arial" w:hAnsi="Arial" w:cs="Arial"/>
          <w:color w:val="000000"/>
        </w:rPr>
        <w:t>acknowledges that it has a role to play in relation to other types of gambling where there are perceived impacts on the health and wellbeing of the community.</w:t>
      </w:r>
    </w:p>
    <w:p w:rsidR="00A14868" w:rsidRPr="00504456" w:rsidRDefault="00A14868" w:rsidP="00A14868">
      <w:pPr>
        <w:pStyle w:val="Heading2"/>
      </w:pPr>
      <w:bookmarkStart w:id="3" w:name="_Toc372787018"/>
      <w:r w:rsidRPr="00504456">
        <w:t>Purpose</w:t>
      </w:r>
      <w:bookmarkEnd w:id="3"/>
    </w:p>
    <w:p w:rsidR="00A14868" w:rsidRPr="00504456" w:rsidRDefault="00A14868" w:rsidP="00A14868">
      <w:pPr>
        <w:pStyle w:val="BodyText"/>
        <w:spacing w:after="0" w:line="240" w:lineRule="auto"/>
        <w:rPr>
          <w:rFonts w:cs="Arial"/>
          <w:color w:val="000000"/>
          <w:sz w:val="24"/>
        </w:rPr>
      </w:pPr>
      <w:r w:rsidRPr="00504456">
        <w:rPr>
          <w:rFonts w:cs="Arial"/>
          <w:color w:val="000000"/>
          <w:sz w:val="24"/>
        </w:rPr>
        <w:t>The purpose of the City of Boroondara Responsible Gambling Policy 2013-1</w:t>
      </w:r>
      <w:r w:rsidR="00A547D1" w:rsidRPr="00504456">
        <w:rPr>
          <w:rFonts w:cs="Arial"/>
          <w:color w:val="000000"/>
          <w:sz w:val="24"/>
        </w:rPr>
        <w:t>8</w:t>
      </w:r>
      <w:r w:rsidRPr="00504456">
        <w:rPr>
          <w:rFonts w:cs="Arial"/>
          <w:color w:val="000000"/>
          <w:sz w:val="24"/>
        </w:rPr>
        <w:t xml:space="preserve"> (the Responsible Gambling Policy 2013-1</w:t>
      </w:r>
      <w:r w:rsidR="00A547D1" w:rsidRPr="00504456">
        <w:rPr>
          <w:rFonts w:cs="Arial"/>
          <w:color w:val="000000"/>
          <w:sz w:val="24"/>
        </w:rPr>
        <w:t>8</w:t>
      </w:r>
      <w:r w:rsidRPr="00504456">
        <w:rPr>
          <w:rFonts w:cs="Arial"/>
          <w:color w:val="000000"/>
          <w:sz w:val="24"/>
        </w:rPr>
        <w:t>)</w:t>
      </w:r>
      <w:r w:rsidRPr="00504456">
        <w:rPr>
          <w:rFonts w:cs="Arial"/>
          <w:i/>
          <w:color w:val="000000"/>
          <w:sz w:val="24"/>
        </w:rPr>
        <w:t xml:space="preserve"> </w:t>
      </w:r>
      <w:r w:rsidRPr="00504456">
        <w:rPr>
          <w:rFonts w:cs="Arial"/>
          <w:color w:val="000000"/>
          <w:sz w:val="24"/>
        </w:rPr>
        <w:t xml:space="preserve">is to provide the strategic direction for how Council will </w:t>
      </w:r>
      <w:proofErr w:type="spellStart"/>
      <w:r w:rsidRPr="00504456">
        <w:rPr>
          <w:rFonts w:cs="Arial"/>
          <w:color w:val="000000"/>
          <w:sz w:val="24"/>
        </w:rPr>
        <w:t>minimise</w:t>
      </w:r>
      <w:proofErr w:type="spellEnd"/>
      <w:r w:rsidRPr="00504456">
        <w:rPr>
          <w:rFonts w:cs="Arial"/>
          <w:color w:val="000000"/>
          <w:sz w:val="24"/>
        </w:rPr>
        <w:t xml:space="preserve"> the harms </w:t>
      </w:r>
      <w:r w:rsidR="003202CF" w:rsidRPr="00504456">
        <w:rPr>
          <w:rFonts w:cs="Arial"/>
          <w:color w:val="000000"/>
          <w:sz w:val="24"/>
        </w:rPr>
        <w:t xml:space="preserve">that are particularly </w:t>
      </w:r>
      <w:r w:rsidRPr="00504456">
        <w:rPr>
          <w:rFonts w:cs="Arial"/>
          <w:color w:val="000000"/>
          <w:sz w:val="24"/>
        </w:rPr>
        <w:t xml:space="preserve">associated with </w:t>
      </w:r>
      <w:proofErr w:type="spellStart"/>
      <w:r w:rsidRPr="00504456">
        <w:rPr>
          <w:rFonts w:cs="Arial"/>
          <w:color w:val="000000"/>
          <w:sz w:val="24"/>
        </w:rPr>
        <w:t>EGM</w:t>
      </w:r>
      <w:proofErr w:type="spellEnd"/>
      <w:r w:rsidRPr="00504456">
        <w:rPr>
          <w:rFonts w:cs="Arial"/>
          <w:color w:val="000000"/>
          <w:sz w:val="24"/>
        </w:rPr>
        <w:t xml:space="preserve"> gambling in the City of Boroondara. The policy also details work that Council will undertake in its role as advocate, partner, community educator and researcher in relation to </w:t>
      </w:r>
      <w:proofErr w:type="spellStart"/>
      <w:r w:rsidRPr="00504456">
        <w:rPr>
          <w:rFonts w:cs="Arial"/>
          <w:color w:val="000000"/>
          <w:sz w:val="24"/>
        </w:rPr>
        <w:t>EGM</w:t>
      </w:r>
      <w:proofErr w:type="spellEnd"/>
      <w:r w:rsidRPr="00504456">
        <w:rPr>
          <w:rFonts w:cs="Arial"/>
          <w:color w:val="000000"/>
          <w:sz w:val="24"/>
        </w:rPr>
        <w:t xml:space="preserve"> gambling and other types of gambling, which impact on the community.</w:t>
      </w:r>
    </w:p>
    <w:p w:rsidR="00A14868" w:rsidRPr="00504456" w:rsidRDefault="00A14868" w:rsidP="00A14868">
      <w:pPr>
        <w:pStyle w:val="BodyText"/>
        <w:spacing w:after="0" w:line="240" w:lineRule="auto"/>
        <w:rPr>
          <w:rFonts w:cs="Arial"/>
          <w:color w:val="000000"/>
          <w:sz w:val="24"/>
        </w:rPr>
      </w:pPr>
    </w:p>
    <w:p w:rsidR="00A14868" w:rsidRPr="00504456" w:rsidRDefault="00A14868" w:rsidP="00A14868">
      <w:pPr>
        <w:pStyle w:val="BodyText"/>
        <w:spacing w:after="0" w:line="240" w:lineRule="auto"/>
        <w:rPr>
          <w:rFonts w:cs="Arial"/>
          <w:color w:val="000000"/>
          <w:sz w:val="24"/>
        </w:rPr>
      </w:pPr>
      <w:r w:rsidRPr="00504456">
        <w:rPr>
          <w:rFonts w:cs="Arial"/>
          <w:color w:val="000000"/>
          <w:sz w:val="24"/>
        </w:rPr>
        <w:t>This policy supersedes the City of Boroondara Gaming Policy July 2008 and builds on the work undertaken by Council under that policy</w:t>
      </w:r>
      <w:r w:rsidRPr="00504456">
        <w:rPr>
          <w:rFonts w:cs="Arial"/>
          <w:i/>
          <w:color w:val="000000"/>
          <w:sz w:val="24"/>
        </w:rPr>
        <w:t>.</w:t>
      </w:r>
    </w:p>
    <w:p w:rsidR="00A14868" w:rsidRPr="00504456" w:rsidRDefault="00A14868" w:rsidP="00A14868">
      <w:pPr>
        <w:pStyle w:val="Heading2"/>
      </w:pPr>
      <w:bookmarkStart w:id="4" w:name="_Toc372787019"/>
      <w:r w:rsidRPr="00504456">
        <w:t>Scope</w:t>
      </w:r>
      <w:bookmarkEnd w:id="4"/>
    </w:p>
    <w:p w:rsidR="00A14868" w:rsidRPr="00504456" w:rsidRDefault="00F768F4" w:rsidP="00A14868">
      <w:pPr>
        <w:rPr>
          <w:rFonts w:ascii="Arial" w:hAnsi="Arial" w:cs="Arial"/>
        </w:rPr>
      </w:pPr>
      <w:r w:rsidRPr="00504456">
        <w:rPr>
          <w:rFonts w:ascii="Arial" w:hAnsi="Arial" w:cs="Arial"/>
        </w:rPr>
        <w:t xml:space="preserve">As noted, the primary focus of this policy is </w:t>
      </w:r>
      <w:proofErr w:type="spellStart"/>
      <w:r w:rsidRPr="00504456">
        <w:rPr>
          <w:rFonts w:ascii="Arial" w:hAnsi="Arial" w:cs="Arial"/>
        </w:rPr>
        <w:t>EGM</w:t>
      </w:r>
      <w:proofErr w:type="spellEnd"/>
      <w:r w:rsidRPr="00504456">
        <w:rPr>
          <w:rFonts w:ascii="Arial" w:hAnsi="Arial" w:cs="Arial"/>
        </w:rPr>
        <w:t xml:space="preserve"> gambling.</w:t>
      </w:r>
      <w:r w:rsidRPr="00504456">
        <w:rPr>
          <w:rFonts w:ascii="Arial" w:hAnsi="Arial" w:cs="Arial"/>
          <w:color w:val="000000"/>
        </w:rPr>
        <w:t xml:space="preserve"> </w:t>
      </w:r>
      <w:r w:rsidR="00D82763" w:rsidRPr="00504456">
        <w:rPr>
          <w:rFonts w:ascii="Arial" w:hAnsi="Arial" w:cs="Arial"/>
        </w:rPr>
        <w:t xml:space="preserve">In Victoria, </w:t>
      </w:r>
      <w:proofErr w:type="spellStart"/>
      <w:r w:rsidR="00D82763" w:rsidRPr="00504456">
        <w:rPr>
          <w:rFonts w:ascii="Arial" w:hAnsi="Arial" w:cs="Arial"/>
        </w:rPr>
        <w:t>EGM</w:t>
      </w:r>
      <w:proofErr w:type="spellEnd"/>
      <w:r w:rsidR="00D82763" w:rsidRPr="00504456">
        <w:rPr>
          <w:rFonts w:ascii="Arial" w:hAnsi="Arial" w:cs="Arial"/>
        </w:rPr>
        <w:t xml:space="preserve"> use requires two permissions - a planning permit from the local authority and a gaming </w:t>
      </w:r>
      <w:proofErr w:type="spellStart"/>
      <w:r w:rsidR="00D82763" w:rsidRPr="00504456">
        <w:rPr>
          <w:rFonts w:ascii="Arial" w:hAnsi="Arial" w:cs="Arial"/>
        </w:rPr>
        <w:t>licence</w:t>
      </w:r>
      <w:proofErr w:type="spellEnd"/>
      <w:r w:rsidR="00D82763" w:rsidRPr="00504456">
        <w:rPr>
          <w:rFonts w:ascii="Arial" w:hAnsi="Arial" w:cs="Arial"/>
        </w:rPr>
        <w:t xml:space="preserve"> from the </w:t>
      </w:r>
      <w:proofErr w:type="spellStart"/>
      <w:r w:rsidR="00D82763" w:rsidRPr="00504456">
        <w:rPr>
          <w:rFonts w:ascii="Arial" w:hAnsi="Arial" w:cs="Arial"/>
        </w:rPr>
        <w:t>VCGLR</w:t>
      </w:r>
      <w:proofErr w:type="spellEnd"/>
      <w:r w:rsidR="0079509C" w:rsidRPr="00504456">
        <w:rPr>
          <w:rFonts w:ascii="Arial" w:hAnsi="Arial" w:cs="Arial"/>
        </w:rPr>
        <w:t xml:space="preserve">, as outlined in </w:t>
      </w:r>
      <w:r w:rsidR="00A577C1" w:rsidRPr="00504456">
        <w:rPr>
          <w:rFonts w:ascii="Arial" w:hAnsi="Arial" w:cs="Arial"/>
          <w:b/>
        </w:rPr>
        <w:t>Appendix 1</w:t>
      </w:r>
      <w:r w:rsidR="00B555E4" w:rsidRPr="00504456">
        <w:rPr>
          <w:rFonts w:ascii="Arial" w:hAnsi="Arial" w:cs="Arial"/>
        </w:rPr>
        <w:t>.</w:t>
      </w:r>
      <w:r w:rsidR="00A577C1" w:rsidRPr="00504456">
        <w:rPr>
          <w:rFonts w:ascii="Arial" w:hAnsi="Arial" w:cs="Arial"/>
        </w:rPr>
        <w:t xml:space="preserve"> </w:t>
      </w:r>
      <w:r w:rsidR="00AE73E9" w:rsidRPr="00504456">
        <w:rPr>
          <w:rFonts w:ascii="Arial" w:hAnsi="Arial" w:cs="Arial"/>
        </w:rPr>
        <w:t xml:space="preserve">Council is responsible for approving planning permits for the installation and use of </w:t>
      </w:r>
      <w:proofErr w:type="spellStart"/>
      <w:r w:rsidR="00AE73E9" w:rsidRPr="00504456">
        <w:rPr>
          <w:rFonts w:ascii="Arial" w:hAnsi="Arial" w:cs="Arial"/>
        </w:rPr>
        <w:t>EGMs</w:t>
      </w:r>
      <w:proofErr w:type="spellEnd"/>
      <w:r w:rsidR="00AE73E9" w:rsidRPr="00504456">
        <w:rPr>
          <w:rFonts w:ascii="Arial" w:hAnsi="Arial" w:cs="Arial"/>
        </w:rPr>
        <w:t xml:space="preserve"> through the Boroondara Planning Scheme. Council does not have decision-making powers to grant gaming </w:t>
      </w:r>
      <w:proofErr w:type="spellStart"/>
      <w:r w:rsidR="00AE73E9" w:rsidRPr="00504456">
        <w:rPr>
          <w:rFonts w:ascii="Arial" w:hAnsi="Arial" w:cs="Arial"/>
        </w:rPr>
        <w:t>licences</w:t>
      </w:r>
      <w:proofErr w:type="spellEnd"/>
      <w:r w:rsidR="00AE73E9" w:rsidRPr="00504456">
        <w:rPr>
          <w:rFonts w:ascii="Arial" w:hAnsi="Arial" w:cs="Arial"/>
        </w:rPr>
        <w:t xml:space="preserve"> to either approve a premise as suitable for gaming or to vary the number of </w:t>
      </w:r>
      <w:proofErr w:type="spellStart"/>
      <w:r w:rsidR="00AE73E9" w:rsidRPr="00504456">
        <w:rPr>
          <w:rFonts w:ascii="Arial" w:hAnsi="Arial" w:cs="Arial"/>
        </w:rPr>
        <w:t>EGMs</w:t>
      </w:r>
      <w:proofErr w:type="spellEnd"/>
      <w:r w:rsidR="00AE73E9" w:rsidRPr="00504456">
        <w:rPr>
          <w:rFonts w:ascii="Arial" w:hAnsi="Arial" w:cs="Arial"/>
        </w:rPr>
        <w:t xml:space="preserve"> in an approved venue, as this is the responsibility of the </w:t>
      </w:r>
      <w:proofErr w:type="spellStart"/>
      <w:r w:rsidR="00AE73E9" w:rsidRPr="00504456">
        <w:rPr>
          <w:rFonts w:ascii="Arial" w:hAnsi="Arial" w:cs="Arial"/>
        </w:rPr>
        <w:t>VCGLR</w:t>
      </w:r>
      <w:proofErr w:type="spellEnd"/>
      <w:r w:rsidR="00AE73E9" w:rsidRPr="00504456">
        <w:rPr>
          <w:rFonts w:ascii="Arial" w:hAnsi="Arial" w:cs="Arial"/>
        </w:rPr>
        <w:t xml:space="preserve">. However, under the </w:t>
      </w:r>
      <w:r w:rsidR="00AE73E9" w:rsidRPr="00504456">
        <w:rPr>
          <w:rFonts w:ascii="Arial" w:hAnsi="Arial" w:cs="Arial"/>
          <w:i/>
        </w:rPr>
        <w:t>Gambling Regulation Act 2003</w:t>
      </w:r>
      <w:r w:rsidR="00AE73E9" w:rsidRPr="00504456">
        <w:rPr>
          <w:rFonts w:ascii="Arial" w:hAnsi="Arial" w:cs="Arial"/>
        </w:rPr>
        <w:t xml:space="preserve"> </w:t>
      </w:r>
      <w:r w:rsidR="00D512E2" w:rsidRPr="00504456">
        <w:rPr>
          <w:rFonts w:ascii="Arial" w:hAnsi="Arial" w:cs="Arial"/>
        </w:rPr>
        <w:t xml:space="preserve">(the Gambling Act) </w:t>
      </w:r>
      <w:r w:rsidR="00AE73E9" w:rsidRPr="00504456">
        <w:rPr>
          <w:rFonts w:ascii="Arial" w:hAnsi="Arial" w:cs="Arial"/>
        </w:rPr>
        <w:t xml:space="preserve">Council can make a submission to the </w:t>
      </w:r>
      <w:proofErr w:type="spellStart"/>
      <w:r w:rsidR="00AE73E9" w:rsidRPr="00504456">
        <w:rPr>
          <w:rFonts w:ascii="Arial" w:hAnsi="Arial" w:cs="Arial"/>
        </w:rPr>
        <w:t>VCGLR</w:t>
      </w:r>
      <w:proofErr w:type="spellEnd"/>
      <w:r w:rsidR="00AE73E9" w:rsidRPr="00504456">
        <w:rPr>
          <w:rFonts w:ascii="Arial" w:hAnsi="Arial" w:cs="Arial"/>
        </w:rPr>
        <w:t xml:space="preserve"> on gaming </w:t>
      </w:r>
      <w:proofErr w:type="spellStart"/>
      <w:r w:rsidR="00AE73E9" w:rsidRPr="00504456">
        <w:rPr>
          <w:rFonts w:ascii="Arial" w:hAnsi="Arial" w:cs="Arial"/>
        </w:rPr>
        <w:t>licence</w:t>
      </w:r>
      <w:proofErr w:type="spellEnd"/>
      <w:r w:rsidR="00AE73E9" w:rsidRPr="00504456">
        <w:rPr>
          <w:rFonts w:ascii="Arial" w:hAnsi="Arial" w:cs="Arial"/>
        </w:rPr>
        <w:t xml:space="preserve"> applications based on the social and economic impacts of the application on the wellbeing of the community</w:t>
      </w:r>
      <w:r w:rsidR="001B1CD2" w:rsidRPr="00504456">
        <w:rPr>
          <w:rFonts w:ascii="Arial" w:hAnsi="Arial" w:cs="Arial"/>
        </w:rPr>
        <w:t xml:space="preserve"> </w:t>
      </w:r>
      <w:r w:rsidRPr="00504456">
        <w:rPr>
          <w:rFonts w:ascii="Arial" w:hAnsi="Arial" w:cs="Arial"/>
        </w:rPr>
        <w:t>(see section 2.2 for further details).</w:t>
      </w:r>
    </w:p>
    <w:p w:rsidR="00A14868" w:rsidRPr="00504456" w:rsidRDefault="00A14868" w:rsidP="00A14868">
      <w:pPr>
        <w:rPr>
          <w:rFonts w:ascii="Arial" w:hAnsi="Arial" w:cs="Arial"/>
          <w:color w:val="FF0000"/>
        </w:rPr>
      </w:pPr>
    </w:p>
    <w:p w:rsidR="00A14868" w:rsidRPr="00504456" w:rsidRDefault="00F768F4" w:rsidP="00A14868">
      <w:pPr>
        <w:rPr>
          <w:rFonts w:ascii="Arial" w:hAnsi="Arial" w:cs="Arial"/>
          <w:color w:val="000000"/>
        </w:rPr>
      </w:pPr>
      <w:r w:rsidRPr="00504456">
        <w:rPr>
          <w:rFonts w:ascii="Arial" w:hAnsi="Arial" w:cs="Arial"/>
          <w:color w:val="000000"/>
        </w:rPr>
        <w:t>T</w:t>
      </w:r>
      <w:r w:rsidR="00A14868" w:rsidRPr="00504456">
        <w:rPr>
          <w:rFonts w:ascii="Arial" w:hAnsi="Arial" w:cs="Arial"/>
          <w:color w:val="000000"/>
        </w:rPr>
        <w:t xml:space="preserve">he </w:t>
      </w:r>
      <w:r w:rsidR="0079509C" w:rsidRPr="00504456">
        <w:rPr>
          <w:rFonts w:ascii="Arial" w:hAnsi="Arial" w:cs="Arial"/>
          <w:color w:val="000000"/>
        </w:rPr>
        <w:t xml:space="preserve">key </w:t>
      </w:r>
      <w:r w:rsidR="00A14868" w:rsidRPr="00504456">
        <w:rPr>
          <w:rFonts w:ascii="Arial" w:hAnsi="Arial" w:cs="Arial"/>
          <w:color w:val="000000"/>
        </w:rPr>
        <w:t>stakeholders of this policy are:</w:t>
      </w:r>
    </w:p>
    <w:p w:rsidR="00A14868" w:rsidRPr="00504456" w:rsidRDefault="00A14868" w:rsidP="00036CC5">
      <w:pPr>
        <w:numPr>
          <w:ilvl w:val="0"/>
          <w:numId w:val="22"/>
        </w:numPr>
        <w:rPr>
          <w:rFonts w:ascii="Arial" w:hAnsi="Arial" w:cs="Arial"/>
          <w:color w:val="000000"/>
        </w:rPr>
      </w:pPr>
      <w:proofErr w:type="spellStart"/>
      <w:r w:rsidRPr="00504456">
        <w:rPr>
          <w:rFonts w:ascii="Arial" w:hAnsi="Arial" w:cs="Arial"/>
          <w:color w:val="000000"/>
        </w:rPr>
        <w:t>EGM</w:t>
      </w:r>
      <w:proofErr w:type="spellEnd"/>
      <w:r w:rsidRPr="00504456">
        <w:rPr>
          <w:rFonts w:ascii="Arial" w:hAnsi="Arial" w:cs="Arial"/>
          <w:color w:val="000000"/>
        </w:rPr>
        <w:t xml:space="preserve"> gaming venue operators</w:t>
      </w:r>
    </w:p>
    <w:p w:rsidR="00A14868" w:rsidRPr="00504456" w:rsidRDefault="00A14868" w:rsidP="00036CC5">
      <w:pPr>
        <w:numPr>
          <w:ilvl w:val="0"/>
          <w:numId w:val="22"/>
        </w:numPr>
        <w:rPr>
          <w:rFonts w:ascii="Arial" w:hAnsi="Arial" w:cs="Arial"/>
          <w:color w:val="000000"/>
        </w:rPr>
      </w:pPr>
      <w:r w:rsidRPr="00504456">
        <w:rPr>
          <w:rFonts w:ascii="Arial" w:hAnsi="Arial" w:cs="Arial"/>
          <w:color w:val="000000"/>
        </w:rPr>
        <w:t>the Boroondara community</w:t>
      </w:r>
    </w:p>
    <w:p w:rsidR="00A14868" w:rsidRPr="00504456" w:rsidRDefault="00A14868" w:rsidP="00036CC5">
      <w:pPr>
        <w:numPr>
          <w:ilvl w:val="0"/>
          <w:numId w:val="22"/>
        </w:numPr>
        <w:rPr>
          <w:rFonts w:ascii="Arial" w:hAnsi="Arial" w:cs="Arial"/>
          <w:color w:val="000000"/>
        </w:rPr>
      </w:pPr>
      <w:proofErr w:type="spellStart"/>
      <w:proofErr w:type="gramStart"/>
      <w:r w:rsidRPr="00504456">
        <w:rPr>
          <w:rFonts w:ascii="Arial" w:hAnsi="Arial" w:cs="Arial"/>
          <w:color w:val="000000"/>
        </w:rPr>
        <w:t>organisations</w:t>
      </w:r>
      <w:proofErr w:type="spellEnd"/>
      <w:proofErr w:type="gramEnd"/>
      <w:r w:rsidRPr="00504456">
        <w:rPr>
          <w:rFonts w:ascii="Arial" w:hAnsi="Arial" w:cs="Arial"/>
          <w:color w:val="000000"/>
        </w:rPr>
        <w:t xml:space="preserve"> providing services to people affected by gambling.</w:t>
      </w:r>
    </w:p>
    <w:p w:rsidR="00425A05" w:rsidRPr="00504456" w:rsidRDefault="00425A05" w:rsidP="00A14868">
      <w:pPr>
        <w:rPr>
          <w:rFonts w:ascii="Arial" w:hAnsi="Arial" w:cs="Arial"/>
          <w:color w:val="FF0000"/>
        </w:rPr>
      </w:pPr>
    </w:p>
    <w:p w:rsidR="00A14868" w:rsidRPr="00504456" w:rsidRDefault="00A14868" w:rsidP="00A14868">
      <w:pPr>
        <w:rPr>
          <w:rFonts w:ascii="Arial" w:hAnsi="Arial" w:cs="Arial"/>
          <w:color w:val="000000"/>
        </w:rPr>
      </w:pPr>
      <w:r w:rsidRPr="00504456">
        <w:rPr>
          <w:rFonts w:ascii="Arial" w:hAnsi="Arial" w:cs="Arial"/>
          <w:color w:val="000000"/>
        </w:rPr>
        <w:t>Council will have regard to this policy when:</w:t>
      </w:r>
    </w:p>
    <w:p w:rsidR="00A14868" w:rsidRPr="00504456" w:rsidRDefault="00A14868" w:rsidP="00A14868">
      <w:pPr>
        <w:pStyle w:val="BodyText"/>
        <w:numPr>
          <w:ilvl w:val="0"/>
          <w:numId w:val="2"/>
        </w:numPr>
        <w:spacing w:after="0" w:line="240" w:lineRule="auto"/>
        <w:rPr>
          <w:color w:val="000000"/>
          <w:sz w:val="24"/>
        </w:rPr>
      </w:pPr>
      <w:r w:rsidRPr="00504456">
        <w:rPr>
          <w:color w:val="000000"/>
          <w:sz w:val="24"/>
        </w:rPr>
        <w:t xml:space="preserve">assessing planning permit applications to install or use </w:t>
      </w:r>
      <w:proofErr w:type="spellStart"/>
      <w:r w:rsidRPr="00504456">
        <w:rPr>
          <w:color w:val="000000"/>
          <w:sz w:val="24"/>
        </w:rPr>
        <w:t>EGMs</w:t>
      </w:r>
      <w:proofErr w:type="spellEnd"/>
      <w:r w:rsidRPr="00504456">
        <w:rPr>
          <w:color w:val="000000"/>
          <w:sz w:val="24"/>
        </w:rPr>
        <w:t xml:space="preserve"> under </w:t>
      </w:r>
      <w:r w:rsidR="00AE480C" w:rsidRPr="00504456">
        <w:rPr>
          <w:color w:val="000000"/>
          <w:sz w:val="24"/>
        </w:rPr>
        <w:t>c</w:t>
      </w:r>
      <w:r w:rsidRPr="00504456">
        <w:rPr>
          <w:color w:val="000000"/>
          <w:sz w:val="24"/>
        </w:rPr>
        <w:t xml:space="preserve">lause 52.28 </w:t>
      </w:r>
      <w:r w:rsidR="009F258A" w:rsidRPr="00504456">
        <w:rPr>
          <w:color w:val="000000"/>
          <w:sz w:val="24"/>
        </w:rPr>
        <w:t xml:space="preserve">and clause 22.14 </w:t>
      </w:r>
      <w:r w:rsidRPr="00504456">
        <w:rPr>
          <w:color w:val="000000"/>
          <w:sz w:val="24"/>
        </w:rPr>
        <w:t>of the Boroondara Planning Scheme</w:t>
      </w:r>
    </w:p>
    <w:p w:rsidR="00A14868" w:rsidRPr="00504456" w:rsidRDefault="00A14868" w:rsidP="00A14868">
      <w:pPr>
        <w:pStyle w:val="BodyText"/>
        <w:numPr>
          <w:ilvl w:val="0"/>
          <w:numId w:val="2"/>
        </w:numPr>
        <w:spacing w:after="0" w:line="240" w:lineRule="auto"/>
        <w:rPr>
          <w:color w:val="000000"/>
          <w:sz w:val="24"/>
        </w:rPr>
      </w:pPr>
      <w:r w:rsidRPr="00504456">
        <w:rPr>
          <w:color w:val="000000"/>
          <w:sz w:val="24"/>
        </w:rPr>
        <w:lastRenderedPageBreak/>
        <w:t xml:space="preserve">making a submission to the </w:t>
      </w:r>
      <w:proofErr w:type="spellStart"/>
      <w:r w:rsidRPr="00504456">
        <w:rPr>
          <w:color w:val="000000"/>
          <w:sz w:val="24"/>
        </w:rPr>
        <w:t>VCGLR</w:t>
      </w:r>
      <w:proofErr w:type="spellEnd"/>
      <w:r w:rsidRPr="00504456">
        <w:rPr>
          <w:color w:val="000000"/>
          <w:sz w:val="24"/>
        </w:rPr>
        <w:t xml:space="preserve"> on </w:t>
      </w:r>
      <w:r w:rsidR="00F81CA5" w:rsidRPr="00504456">
        <w:rPr>
          <w:color w:val="000000"/>
          <w:sz w:val="24"/>
        </w:rPr>
        <w:t xml:space="preserve">gaming </w:t>
      </w:r>
      <w:proofErr w:type="spellStart"/>
      <w:r w:rsidR="00F81CA5" w:rsidRPr="00504456">
        <w:rPr>
          <w:color w:val="000000"/>
          <w:sz w:val="24"/>
        </w:rPr>
        <w:t>licence</w:t>
      </w:r>
      <w:proofErr w:type="spellEnd"/>
      <w:r w:rsidR="00F81CA5" w:rsidRPr="00504456">
        <w:rPr>
          <w:color w:val="000000"/>
          <w:sz w:val="24"/>
        </w:rPr>
        <w:t xml:space="preserve"> </w:t>
      </w:r>
      <w:r w:rsidRPr="00504456">
        <w:rPr>
          <w:color w:val="000000"/>
          <w:sz w:val="24"/>
        </w:rPr>
        <w:t xml:space="preserve">applications to approve premises as suitable for gaming under section 3.3.6 of the </w:t>
      </w:r>
      <w:r w:rsidR="000F07FC" w:rsidRPr="00504456">
        <w:rPr>
          <w:color w:val="000000"/>
          <w:sz w:val="24"/>
        </w:rPr>
        <w:t>G</w:t>
      </w:r>
      <w:r w:rsidRPr="00504456">
        <w:rPr>
          <w:color w:val="000000"/>
          <w:sz w:val="24"/>
        </w:rPr>
        <w:t>ambling</w:t>
      </w:r>
      <w:r w:rsidR="004200AC" w:rsidRPr="00504456">
        <w:rPr>
          <w:color w:val="000000"/>
          <w:sz w:val="24"/>
        </w:rPr>
        <w:t xml:space="preserve"> </w:t>
      </w:r>
      <w:r w:rsidR="000F07FC" w:rsidRPr="00504456">
        <w:rPr>
          <w:color w:val="000000"/>
          <w:sz w:val="24"/>
        </w:rPr>
        <w:t>A</w:t>
      </w:r>
      <w:r w:rsidRPr="00504456">
        <w:rPr>
          <w:color w:val="000000"/>
          <w:sz w:val="24"/>
        </w:rPr>
        <w:t>ct</w:t>
      </w:r>
    </w:p>
    <w:p w:rsidR="00A14868" w:rsidRPr="00504456" w:rsidRDefault="00A14868" w:rsidP="00A14868">
      <w:pPr>
        <w:pStyle w:val="BodyText"/>
        <w:numPr>
          <w:ilvl w:val="0"/>
          <w:numId w:val="2"/>
        </w:numPr>
        <w:spacing w:after="0" w:line="240" w:lineRule="auto"/>
        <w:rPr>
          <w:color w:val="000000"/>
          <w:sz w:val="24"/>
        </w:rPr>
      </w:pPr>
      <w:proofErr w:type="gramStart"/>
      <w:r w:rsidRPr="00504456">
        <w:rPr>
          <w:color w:val="000000"/>
          <w:sz w:val="24"/>
        </w:rPr>
        <w:t>making</w:t>
      </w:r>
      <w:proofErr w:type="gramEnd"/>
      <w:r w:rsidRPr="00504456">
        <w:rPr>
          <w:color w:val="000000"/>
          <w:sz w:val="24"/>
        </w:rPr>
        <w:t xml:space="preserve"> a submission to the </w:t>
      </w:r>
      <w:proofErr w:type="spellStart"/>
      <w:r w:rsidRPr="00504456">
        <w:rPr>
          <w:color w:val="000000"/>
          <w:sz w:val="24"/>
        </w:rPr>
        <w:t>VCGLR</w:t>
      </w:r>
      <w:proofErr w:type="spellEnd"/>
      <w:r w:rsidRPr="00504456">
        <w:rPr>
          <w:color w:val="000000"/>
          <w:sz w:val="24"/>
        </w:rPr>
        <w:t xml:space="preserve"> on </w:t>
      </w:r>
      <w:r w:rsidR="00F81CA5" w:rsidRPr="00504456">
        <w:rPr>
          <w:color w:val="000000"/>
          <w:sz w:val="24"/>
        </w:rPr>
        <w:t xml:space="preserve">gaming </w:t>
      </w:r>
      <w:proofErr w:type="spellStart"/>
      <w:r w:rsidR="00F81CA5" w:rsidRPr="00504456">
        <w:rPr>
          <w:color w:val="000000"/>
          <w:sz w:val="24"/>
        </w:rPr>
        <w:t>licence</w:t>
      </w:r>
      <w:proofErr w:type="spellEnd"/>
      <w:r w:rsidR="00F81CA5" w:rsidRPr="00504456">
        <w:rPr>
          <w:color w:val="000000"/>
          <w:sz w:val="24"/>
        </w:rPr>
        <w:t xml:space="preserve"> </w:t>
      </w:r>
      <w:r w:rsidRPr="00504456">
        <w:rPr>
          <w:color w:val="000000"/>
          <w:sz w:val="24"/>
        </w:rPr>
        <w:t xml:space="preserve">applications to amend the venue operator's </w:t>
      </w:r>
      <w:proofErr w:type="spellStart"/>
      <w:r w:rsidRPr="00504456">
        <w:rPr>
          <w:color w:val="000000"/>
          <w:sz w:val="24"/>
        </w:rPr>
        <w:t>licence</w:t>
      </w:r>
      <w:proofErr w:type="spellEnd"/>
      <w:r w:rsidR="00F81CA5" w:rsidRPr="00504456">
        <w:rPr>
          <w:color w:val="000000"/>
          <w:sz w:val="24"/>
        </w:rPr>
        <w:t xml:space="preserve"> to vary the number of </w:t>
      </w:r>
      <w:proofErr w:type="spellStart"/>
      <w:r w:rsidR="00F81CA5" w:rsidRPr="00504456">
        <w:rPr>
          <w:color w:val="000000"/>
          <w:sz w:val="24"/>
        </w:rPr>
        <w:t>EGMs</w:t>
      </w:r>
      <w:proofErr w:type="spellEnd"/>
      <w:r w:rsidRPr="00504456">
        <w:rPr>
          <w:color w:val="000000"/>
          <w:sz w:val="24"/>
        </w:rPr>
        <w:t xml:space="preserve"> under section 3.4.19 of the </w:t>
      </w:r>
      <w:r w:rsidR="000F07FC" w:rsidRPr="00504456">
        <w:rPr>
          <w:color w:val="000000"/>
          <w:sz w:val="24"/>
        </w:rPr>
        <w:t>G</w:t>
      </w:r>
      <w:r w:rsidRPr="00504456">
        <w:rPr>
          <w:color w:val="000000"/>
          <w:sz w:val="24"/>
        </w:rPr>
        <w:t xml:space="preserve">ambling </w:t>
      </w:r>
      <w:r w:rsidR="000F07FC" w:rsidRPr="00504456">
        <w:rPr>
          <w:color w:val="000000"/>
          <w:sz w:val="24"/>
        </w:rPr>
        <w:t>A</w:t>
      </w:r>
      <w:r w:rsidRPr="00504456">
        <w:rPr>
          <w:color w:val="000000"/>
          <w:sz w:val="24"/>
        </w:rPr>
        <w:t>ct.</w:t>
      </w:r>
    </w:p>
    <w:p w:rsidR="00A14868" w:rsidRPr="00504456" w:rsidRDefault="00A14868" w:rsidP="00A14868">
      <w:pPr>
        <w:pStyle w:val="BodyText"/>
        <w:spacing w:after="0" w:line="240" w:lineRule="auto"/>
        <w:ind w:left="720"/>
        <w:rPr>
          <w:color w:val="FF0000"/>
          <w:sz w:val="24"/>
        </w:rPr>
      </w:pPr>
    </w:p>
    <w:p w:rsidR="00A14868" w:rsidRPr="00504456" w:rsidRDefault="00A14868" w:rsidP="00A14868">
      <w:pPr>
        <w:rPr>
          <w:rFonts w:ascii="Arial" w:hAnsi="Arial" w:cs="Arial"/>
          <w:color w:val="000000"/>
        </w:rPr>
      </w:pPr>
      <w:r w:rsidRPr="00504456">
        <w:rPr>
          <w:rFonts w:ascii="Arial" w:hAnsi="Arial" w:cs="Arial"/>
          <w:color w:val="000000"/>
        </w:rPr>
        <w:t>Council will also have regard to this policy when:</w:t>
      </w:r>
    </w:p>
    <w:p w:rsidR="00A14868" w:rsidRPr="00504456" w:rsidRDefault="00A14868" w:rsidP="00036CC5">
      <w:pPr>
        <w:numPr>
          <w:ilvl w:val="0"/>
          <w:numId w:val="22"/>
        </w:numPr>
        <w:rPr>
          <w:rFonts w:ascii="Arial" w:hAnsi="Arial" w:cs="Arial"/>
          <w:color w:val="000000"/>
        </w:rPr>
      </w:pPr>
      <w:r w:rsidRPr="00504456">
        <w:rPr>
          <w:rFonts w:ascii="Arial" w:hAnsi="Arial" w:cs="Arial"/>
          <w:color w:val="000000"/>
        </w:rPr>
        <w:t xml:space="preserve">responding to the </w:t>
      </w:r>
      <w:proofErr w:type="spellStart"/>
      <w:r w:rsidRPr="00504456">
        <w:rPr>
          <w:rFonts w:ascii="Arial" w:hAnsi="Arial" w:cs="Arial"/>
          <w:color w:val="000000"/>
        </w:rPr>
        <w:t>VCGLR</w:t>
      </w:r>
      <w:proofErr w:type="spellEnd"/>
      <w:r w:rsidRPr="00504456">
        <w:rPr>
          <w:rFonts w:ascii="Arial" w:hAnsi="Arial" w:cs="Arial"/>
          <w:color w:val="000000"/>
        </w:rPr>
        <w:t xml:space="preserve"> about gaming </w:t>
      </w:r>
      <w:proofErr w:type="spellStart"/>
      <w:r w:rsidR="00F81CA5" w:rsidRPr="00504456">
        <w:rPr>
          <w:rFonts w:ascii="Arial" w:hAnsi="Arial" w:cs="Arial"/>
          <w:color w:val="000000"/>
        </w:rPr>
        <w:t>licence</w:t>
      </w:r>
      <w:proofErr w:type="spellEnd"/>
      <w:r w:rsidR="00F81CA5" w:rsidRPr="00504456">
        <w:rPr>
          <w:rFonts w:ascii="Arial" w:hAnsi="Arial" w:cs="Arial"/>
          <w:color w:val="000000"/>
        </w:rPr>
        <w:t xml:space="preserve"> </w:t>
      </w:r>
      <w:r w:rsidRPr="00504456">
        <w:rPr>
          <w:rFonts w:ascii="Arial" w:hAnsi="Arial" w:cs="Arial"/>
          <w:color w:val="000000"/>
        </w:rPr>
        <w:t xml:space="preserve">applications in </w:t>
      </w:r>
      <w:proofErr w:type="spellStart"/>
      <w:r w:rsidRPr="00504456">
        <w:rPr>
          <w:rFonts w:ascii="Arial" w:hAnsi="Arial" w:cs="Arial"/>
          <w:color w:val="000000"/>
        </w:rPr>
        <w:t>neighbouring</w:t>
      </w:r>
      <w:proofErr w:type="spellEnd"/>
      <w:r w:rsidRPr="00504456">
        <w:rPr>
          <w:rFonts w:ascii="Arial" w:hAnsi="Arial" w:cs="Arial"/>
          <w:color w:val="000000"/>
        </w:rPr>
        <w:t xml:space="preserve"> municipalities </w:t>
      </w:r>
    </w:p>
    <w:p w:rsidR="00A14868" w:rsidRPr="00504456" w:rsidRDefault="00A14868" w:rsidP="00036CC5">
      <w:pPr>
        <w:numPr>
          <w:ilvl w:val="0"/>
          <w:numId w:val="22"/>
        </w:numPr>
        <w:rPr>
          <w:rFonts w:ascii="Arial" w:hAnsi="Arial" w:cs="Arial"/>
          <w:color w:val="000000"/>
        </w:rPr>
      </w:pPr>
      <w:proofErr w:type="gramStart"/>
      <w:r w:rsidRPr="00504456">
        <w:rPr>
          <w:rFonts w:ascii="Arial" w:hAnsi="Arial" w:cs="Arial"/>
          <w:color w:val="000000"/>
        </w:rPr>
        <w:t>undertaking</w:t>
      </w:r>
      <w:proofErr w:type="gramEnd"/>
      <w:r w:rsidRPr="00504456">
        <w:rPr>
          <w:rFonts w:ascii="Arial" w:hAnsi="Arial" w:cs="Arial"/>
          <w:color w:val="000000"/>
        </w:rPr>
        <w:t xml:space="preserve"> work in its role as advocate, partner, community educator and researcher in relation to </w:t>
      </w:r>
      <w:proofErr w:type="spellStart"/>
      <w:r w:rsidRPr="00504456">
        <w:rPr>
          <w:rFonts w:ascii="Arial" w:hAnsi="Arial" w:cs="Arial"/>
          <w:color w:val="000000"/>
        </w:rPr>
        <w:t>EGM</w:t>
      </w:r>
      <w:proofErr w:type="spellEnd"/>
      <w:r w:rsidRPr="00504456">
        <w:rPr>
          <w:rFonts w:ascii="Arial" w:hAnsi="Arial" w:cs="Arial"/>
          <w:color w:val="000000"/>
        </w:rPr>
        <w:t xml:space="preserve"> gambling and other forms of gambling that impact on the local community.</w:t>
      </w:r>
    </w:p>
    <w:p w:rsidR="00A14868" w:rsidRPr="00504456" w:rsidRDefault="00A14868" w:rsidP="00A14868">
      <w:pPr>
        <w:ind w:left="778"/>
        <w:rPr>
          <w:rFonts w:ascii="Arial" w:hAnsi="Arial" w:cs="Arial"/>
          <w:color w:val="000000"/>
        </w:rPr>
      </w:pPr>
    </w:p>
    <w:p w:rsidR="00A14868" w:rsidRPr="00504456" w:rsidRDefault="00B555E4" w:rsidP="00A14868">
      <w:pPr>
        <w:pStyle w:val="BodyText"/>
        <w:spacing w:after="0" w:line="240" w:lineRule="auto"/>
        <w:rPr>
          <w:rFonts w:cs="Arial"/>
          <w:sz w:val="24"/>
        </w:rPr>
      </w:pPr>
      <w:r w:rsidRPr="00504456">
        <w:rPr>
          <w:rFonts w:cs="Arial"/>
          <w:sz w:val="24"/>
        </w:rPr>
        <w:t>In this policy, p</w:t>
      </w:r>
      <w:r w:rsidR="00A14868" w:rsidRPr="00504456">
        <w:rPr>
          <w:rFonts w:cs="Arial"/>
          <w:sz w:val="24"/>
        </w:rPr>
        <w:t>lanning permit applications</w:t>
      </w:r>
      <w:r w:rsidR="00AE73E9" w:rsidRPr="00504456">
        <w:rPr>
          <w:rFonts w:cs="Arial"/>
          <w:sz w:val="24"/>
        </w:rPr>
        <w:t xml:space="preserve"> for the installation and use of </w:t>
      </w:r>
      <w:proofErr w:type="spellStart"/>
      <w:r w:rsidR="00AE73E9" w:rsidRPr="00504456">
        <w:rPr>
          <w:rFonts w:cs="Arial"/>
          <w:sz w:val="24"/>
        </w:rPr>
        <w:t>EGMs</w:t>
      </w:r>
      <w:proofErr w:type="spellEnd"/>
      <w:r w:rsidRPr="00504456">
        <w:rPr>
          <w:rFonts w:cs="Arial"/>
          <w:sz w:val="24"/>
        </w:rPr>
        <w:t xml:space="preserve"> will be referred to as planning </w:t>
      </w:r>
      <w:r w:rsidR="00F81CA5" w:rsidRPr="00504456">
        <w:rPr>
          <w:rFonts w:cs="Arial"/>
          <w:sz w:val="24"/>
        </w:rPr>
        <w:t>permit applications</w:t>
      </w:r>
      <w:r w:rsidRPr="00504456">
        <w:rPr>
          <w:rFonts w:cs="Arial"/>
          <w:sz w:val="24"/>
        </w:rPr>
        <w:t xml:space="preserve">. </w:t>
      </w:r>
      <w:r w:rsidR="00F81CA5" w:rsidRPr="00504456">
        <w:rPr>
          <w:rFonts w:cs="Arial"/>
          <w:sz w:val="24"/>
        </w:rPr>
        <w:t xml:space="preserve">Gaming </w:t>
      </w:r>
      <w:proofErr w:type="spellStart"/>
      <w:r w:rsidR="00F81CA5" w:rsidRPr="00504456">
        <w:rPr>
          <w:rFonts w:cs="Arial"/>
          <w:sz w:val="24"/>
        </w:rPr>
        <w:t>licence</w:t>
      </w:r>
      <w:proofErr w:type="spellEnd"/>
      <w:r w:rsidR="00F81CA5" w:rsidRPr="00504456">
        <w:rPr>
          <w:rFonts w:cs="Arial"/>
          <w:sz w:val="24"/>
        </w:rPr>
        <w:t xml:space="preserve"> a</w:t>
      </w:r>
      <w:r w:rsidRPr="00504456">
        <w:rPr>
          <w:rFonts w:cs="Arial"/>
          <w:sz w:val="24"/>
        </w:rPr>
        <w:t xml:space="preserve">pplications to the </w:t>
      </w:r>
      <w:proofErr w:type="spellStart"/>
      <w:r w:rsidRPr="00504456">
        <w:rPr>
          <w:rFonts w:cs="Arial"/>
          <w:sz w:val="24"/>
        </w:rPr>
        <w:t>VCGLR</w:t>
      </w:r>
      <w:proofErr w:type="spellEnd"/>
      <w:r w:rsidR="00A14868" w:rsidRPr="00504456">
        <w:rPr>
          <w:rFonts w:cs="Arial"/>
          <w:sz w:val="24"/>
        </w:rPr>
        <w:t xml:space="preserve"> for </w:t>
      </w:r>
      <w:r w:rsidR="00F81CA5" w:rsidRPr="00504456">
        <w:rPr>
          <w:rFonts w:cs="Arial"/>
          <w:sz w:val="24"/>
        </w:rPr>
        <w:t xml:space="preserve">either </w:t>
      </w:r>
      <w:r w:rsidR="00A14868" w:rsidRPr="00504456">
        <w:rPr>
          <w:rFonts w:cs="Arial"/>
          <w:sz w:val="24"/>
        </w:rPr>
        <w:t xml:space="preserve">approval of a premise as suitable for </w:t>
      </w:r>
      <w:proofErr w:type="spellStart"/>
      <w:r w:rsidR="00F81CA5" w:rsidRPr="00504456">
        <w:rPr>
          <w:rFonts w:cs="Arial"/>
          <w:sz w:val="24"/>
        </w:rPr>
        <w:t>EGM</w:t>
      </w:r>
      <w:proofErr w:type="spellEnd"/>
      <w:r w:rsidR="00F81CA5" w:rsidRPr="00504456">
        <w:rPr>
          <w:rFonts w:cs="Arial"/>
          <w:sz w:val="24"/>
        </w:rPr>
        <w:t xml:space="preserve"> </w:t>
      </w:r>
      <w:r w:rsidR="00A14868" w:rsidRPr="00504456">
        <w:rPr>
          <w:rFonts w:cs="Arial"/>
          <w:sz w:val="24"/>
        </w:rPr>
        <w:t xml:space="preserve">gaming, </w:t>
      </w:r>
      <w:r w:rsidR="00F81CA5" w:rsidRPr="00504456">
        <w:rPr>
          <w:rFonts w:cs="Arial"/>
          <w:sz w:val="24"/>
        </w:rPr>
        <w:t xml:space="preserve">or to </w:t>
      </w:r>
      <w:r w:rsidR="00A14868" w:rsidRPr="00504456">
        <w:rPr>
          <w:rFonts w:cs="Arial"/>
          <w:sz w:val="24"/>
        </w:rPr>
        <w:t xml:space="preserve">amend the </w:t>
      </w:r>
      <w:r w:rsidR="00F81CA5" w:rsidRPr="00504456">
        <w:rPr>
          <w:rFonts w:cs="Arial"/>
          <w:sz w:val="24"/>
        </w:rPr>
        <w:t xml:space="preserve">venue operator's </w:t>
      </w:r>
      <w:proofErr w:type="spellStart"/>
      <w:r w:rsidR="00F81CA5" w:rsidRPr="00504456">
        <w:rPr>
          <w:rFonts w:cs="Arial"/>
          <w:sz w:val="24"/>
        </w:rPr>
        <w:t>licence</w:t>
      </w:r>
      <w:proofErr w:type="spellEnd"/>
      <w:r w:rsidR="00F81CA5" w:rsidRPr="00504456">
        <w:rPr>
          <w:rFonts w:cs="Arial"/>
          <w:sz w:val="24"/>
        </w:rPr>
        <w:t xml:space="preserve"> to vary the number of </w:t>
      </w:r>
      <w:proofErr w:type="spellStart"/>
      <w:r w:rsidR="00F81CA5" w:rsidRPr="00504456">
        <w:rPr>
          <w:rFonts w:cs="Arial"/>
          <w:sz w:val="24"/>
        </w:rPr>
        <w:t>EGMs</w:t>
      </w:r>
      <w:proofErr w:type="spellEnd"/>
      <w:r w:rsidR="00F81CA5" w:rsidRPr="00504456">
        <w:rPr>
          <w:rFonts w:cs="Arial"/>
          <w:sz w:val="24"/>
        </w:rPr>
        <w:t xml:space="preserve"> for an approved venue</w:t>
      </w:r>
      <w:r w:rsidR="00A14868" w:rsidRPr="00504456">
        <w:rPr>
          <w:rFonts w:cs="Arial"/>
          <w:sz w:val="24"/>
        </w:rPr>
        <w:t xml:space="preserve">, will be referred to as </w:t>
      </w:r>
      <w:r w:rsidRPr="00504456">
        <w:rPr>
          <w:rFonts w:cs="Arial"/>
          <w:sz w:val="24"/>
        </w:rPr>
        <w:t xml:space="preserve">gaming </w:t>
      </w:r>
      <w:proofErr w:type="spellStart"/>
      <w:r w:rsidR="00F81CA5" w:rsidRPr="00504456">
        <w:rPr>
          <w:rFonts w:cs="Arial"/>
          <w:sz w:val="24"/>
        </w:rPr>
        <w:t>licence</w:t>
      </w:r>
      <w:proofErr w:type="spellEnd"/>
      <w:r w:rsidR="00F81CA5" w:rsidRPr="00504456">
        <w:rPr>
          <w:rFonts w:cs="Arial"/>
          <w:sz w:val="24"/>
        </w:rPr>
        <w:t xml:space="preserve"> applications</w:t>
      </w:r>
      <w:r w:rsidR="00A14868" w:rsidRPr="00504456">
        <w:rPr>
          <w:rFonts w:cs="Arial"/>
          <w:sz w:val="24"/>
        </w:rPr>
        <w:t>.</w:t>
      </w:r>
    </w:p>
    <w:p w:rsidR="00A14868" w:rsidRPr="00504456" w:rsidRDefault="00A14868" w:rsidP="00A14868">
      <w:pPr>
        <w:pStyle w:val="BodyText"/>
        <w:spacing w:after="0" w:line="240" w:lineRule="auto"/>
        <w:rPr>
          <w:rFonts w:cs="Arial"/>
          <w:sz w:val="24"/>
        </w:rPr>
      </w:pPr>
    </w:p>
    <w:p w:rsidR="00A14868" w:rsidRPr="00504456" w:rsidRDefault="00A14868" w:rsidP="00A14868">
      <w:pPr>
        <w:pStyle w:val="BodyText"/>
        <w:spacing w:after="0" w:line="240" w:lineRule="auto"/>
        <w:rPr>
          <w:rFonts w:cs="Arial"/>
          <w:sz w:val="24"/>
        </w:rPr>
      </w:pPr>
      <w:r w:rsidRPr="00504456">
        <w:rPr>
          <w:rFonts w:cs="Arial"/>
          <w:sz w:val="24"/>
        </w:rPr>
        <w:t xml:space="preserve">The term 'gaming' is often used to describe </w:t>
      </w:r>
      <w:proofErr w:type="spellStart"/>
      <w:r w:rsidRPr="00504456">
        <w:rPr>
          <w:rFonts w:cs="Arial"/>
          <w:sz w:val="24"/>
        </w:rPr>
        <w:t>EGM</w:t>
      </w:r>
      <w:proofErr w:type="spellEnd"/>
      <w:r w:rsidRPr="00504456">
        <w:rPr>
          <w:rFonts w:cs="Arial"/>
          <w:sz w:val="24"/>
        </w:rPr>
        <w:t xml:space="preserve"> gambling and distinguish it from other forms of gambling. Gaming in the context of this policy refers to gambling activity on </w:t>
      </w:r>
      <w:proofErr w:type="spellStart"/>
      <w:r w:rsidRPr="00504456">
        <w:rPr>
          <w:rFonts w:cs="Arial"/>
          <w:sz w:val="24"/>
        </w:rPr>
        <w:t>EGMs</w:t>
      </w:r>
      <w:proofErr w:type="spellEnd"/>
      <w:r w:rsidRPr="00504456">
        <w:rPr>
          <w:rFonts w:cs="Arial"/>
          <w:sz w:val="24"/>
        </w:rPr>
        <w:t xml:space="preserve">. </w:t>
      </w:r>
    </w:p>
    <w:p w:rsidR="00A14868" w:rsidRPr="00504456" w:rsidRDefault="00A14868" w:rsidP="00A14868">
      <w:pPr>
        <w:pStyle w:val="Heading2"/>
      </w:pPr>
      <w:bookmarkStart w:id="5" w:name="_Toc372787020"/>
      <w:r w:rsidRPr="00504456">
        <w:t>Corporate framework</w:t>
      </w:r>
      <w:bookmarkEnd w:id="5"/>
    </w:p>
    <w:p w:rsidR="00A14868" w:rsidRPr="00504456" w:rsidRDefault="00A14868" w:rsidP="00A14868">
      <w:pPr>
        <w:rPr>
          <w:rFonts w:ascii="Arial" w:hAnsi="Arial" w:cs="Arial"/>
        </w:rPr>
      </w:pPr>
      <w:r w:rsidRPr="00504456">
        <w:rPr>
          <w:rFonts w:ascii="Arial" w:hAnsi="Arial" w:cs="Arial"/>
        </w:rPr>
        <w:t>The vision and mission of the Council Plan 2013-17 articulate Council's overarching commitment to the wellbeing of all community members:</w:t>
      </w:r>
    </w:p>
    <w:p w:rsidR="00A14868" w:rsidRPr="00504456" w:rsidRDefault="00A14868" w:rsidP="00036CC5">
      <w:pPr>
        <w:numPr>
          <w:ilvl w:val="0"/>
          <w:numId w:val="22"/>
        </w:numPr>
        <w:ind w:right="1353"/>
        <w:rPr>
          <w:rFonts w:ascii="Arial" w:hAnsi="Arial" w:cs="Arial"/>
        </w:rPr>
      </w:pPr>
      <w:r w:rsidRPr="00504456">
        <w:rPr>
          <w:rFonts w:ascii="Arial" w:hAnsi="Arial" w:cs="Arial"/>
        </w:rPr>
        <w:t xml:space="preserve">Vision - </w:t>
      </w:r>
      <w:r w:rsidR="004200AC" w:rsidRPr="00504456">
        <w:rPr>
          <w:rFonts w:ascii="Arial" w:hAnsi="Arial" w:cs="Arial"/>
        </w:rPr>
        <w:t>a</w:t>
      </w:r>
      <w:r w:rsidRPr="00504456">
        <w:rPr>
          <w:rFonts w:ascii="Arial" w:hAnsi="Arial" w:cs="Arial"/>
        </w:rPr>
        <w:t xml:space="preserve"> vibrant and inclusive community with an outstanding quality of life</w:t>
      </w:r>
    </w:p>
    <w:p w:rsidR="00A14868" w:rsidRPr="00504456" w:rsidRDefault="00A14868" w:rsidP="00036CC5">
      <w:pPr>
        <w:numPr>
          <w:ilvl w:val="0"/>
          <w:numId w:val="22"/>
        </w:numPr>
        <w:ind w:right="1353"/>
        <w:rPr>
          <w:rFonts w:ascii="Arial" w:hAnsi="Arial" w:cs="Arial"/>
        </w:rPr>
      </w:pPr>
      <w:r w:rsidRPr="00504456">
        <w:rPr>
          <w:rFonts w:ascii="Arial" w:hAnsi="Arial" w:cs="Arial"/>
        </w:rPr>
        <w:t xml:space="preserve">Mission - </w:t>
      </w:r>
      <w:r w:rsidR="004200AC" w:rsidRPr="00504456">
        <w:rPr>
          <w:rFonts w:ascii="Arial" w:hAnsi="Arial" w:cs="Arial"/>
        </w:rPr>
        <w:t>t</w:t>
      </w:r>
      <w:r w:rsidRPr="00504456">
        <w:rPr>
          <w:rFonts w:ascii="Arial" w:hAnsi="Arial" w:cs="Arial"/>
        </w:rPr>
        <w:t>he City of Boroondara will provide services, facilities, support and advocacy to enable our community to further its sense of place and connection.</w:t>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This policy supports Council’s </w:t>
      </w:r>
      <w:r w:rsidR="004200AC" w:rsidRPr="00504456">
        <w:rPr>
          <w:rFonts w:ascii="Arial" w:hAnsi="Arial" w:cs="Arial"/>
        </w:rPr>
        <w:t>m</w:t>
      </w:r>
      <w:r w:rsidRPr="00504456">
        <w:rPr>
          <w:rFonts w:ascii="Arial" w:hAnsi="Arial" w:cs="Arial"/>
        </w:rPr>
        <w:t xml:space="preserve">ission and </w:t>
      </w:r>
      <w:r w:rsidR="004200AC" w:rsidRPr="00504456">
        <w:rPr>
          <w:rFonts w:ascii="Arial" w:hAnsi="Arial" w:cs="Arial"/>
        </w:rPr>
        <w:t>v</w:t>
      </w:r>
      <w:r w:rsidRPr="00504456">
        <w:rPr>
          <w:rFonts w:ascii="Arial" w:hAnsi="Arial" w:cs="Arial"/>
        </w:rPr>
        <w:t>ision by addressing the following themes in the Council Plan 2013-17:</w:t>
      </w:r>
    </w:p>
    <w:p w:rsidR="00A14868" w:rsidRPr="00504456" w:rsidRDefault="000F07FC" w:rsidP="00036CC5">
      <w:pPr>
        <w:numPr>
          <w:ilvl w:val="0"/>
          <w:numId w:val="33"/>
        </w:numPr>
        <w:rPr>
          <w:rFonts w:ascii="Arial" w:hAnsi="Arial" w:cs="Arial"/>
        </w:rPr>
      </w:pPr>
      <w:r w:rsidRPr="00504456">
        <w:rPr>
          <w:rFonts w:ascii="Arial" w:hAnsi="Arial" w:cs="Arial"/>
        </w:rPr>
        <w:t>T</w:t>
      </w:r>
      <w:r w:rsidR="00A14868" w:rsidRPr="00504456">
        <w:rPr>
          <w:rFonts w:ascii="Arial" w:hAnsi="Arial" w:cs="Arial"/>
        </w:rPr>
        <w:t>heme 1: strong and engaged communities</w:t>
      </w:r>
    </w:p>
    <w:p w:rsidR="00A14868" w:rsidRPr="00504456" w:rsidRDefault="000F07FC" w:rsidP="00036CC5">
      <w:pPr>
        <w:numPr>
          <w:ilvl w:val="0"/>
          <w:numId w:val="33"/>
        </w:numPr>
        <w:rPr>
          <w:rFonts w:ascii="Arial" w:hAnsi="Arial" w:cs="Arial"/>
        </w:rPr>
      </w:pPr>
      <w:r w:rsidRPr="00504456">
        <w:rPr>
          <w:rFonts w:ascii="Arial" w:hAnsi="Arial" w:cs="Arial"/>
        </w:rPr>
        <w:t>T</w:t>
      </w:r>
      <w:r w:rsidR="00A14868" w:rsidRPr="00504456">
        <w:rPr>
          <w:rFonts w:ascii="Arial" w:hAnsi="Arial" w:cs="Arial"/>
        </w:rPr>
        <w:t>heme 3: enhanced (</w:t>
      </w:r>
      <w:proofErr w:type="spellStart"/>
      <w:r w:rsidR="00A14868" w:rsidRPr="00504456">
        <w:rPr>
          <w:rFonts w:ascii="Arial" w:hAnsi="Arial" w:cs="Arial"/>
        </w:rPr>
        <w:t>liveability</w:t>
      </w:r>
      <w:proofErr w:type="spellEnd"/>
      <w:r w:rsidR="00A14868" w:rsidRPr="00504456">
        <w:rPr>
          <w:rFonts w:ascii="Arial" w:hAnsi="Arial" w:cs="Arial"/>
        </w:rPr>
        <w:t xml:space="preserve"> and) amenity.</w:t>
      </w:r>
    </w:p>
    <w:p w:rsidR="00A14868" w:rsidRPr="00504456" w:rsidRDefault="00A14868" w:rsidP="00A14868">
      <w:pPr>
        <w:pStyle w:val="Heading1"/>
      </w:pPr>
      <w:bookmarkStart w:id="6" w:name="_Toc372787021"/>
      <w:r w:rsidRPr="00504456">
        <w:t>Background</w:t>
      </w:r>
      <w:bookmarkEnd w:id="6"/>
    </w:p>
    <w:p w:rsidR="00A14868" w:rsidRPr="00504456" w:rsidRDefault="00A14868" w:rsidP="00A14868">
      <w:pPr>
        <w:rPr>
          <w:rFonts w:ascii="Arial" w:hAnsi="Arial" w:cs="Arial"/>
        </w:rPr>
      </w:pPr>
      <w:r w:rsidRPr="00504456">
        <w:rPr>
          <w:rFonts w:ascii="Arial" w:hAnsi="Arial" w:cs="Arial"/>
        </w:rPr>
        <w:t>In Australia, there are a range of legal gambling opportunities available to the community including:</w:t>
      </w:r>
    </w:p>
    <w:p w:rsidR="00A14868" w:rsidRPr="00504456" w:rsidRDefault="00A14868" w:rsidP="00036CC5">
      <w:pPr>
        <w:numPr>
          <w:ilvl w:val="0"/>
          <w:numId w:val="22"/>
        </w:numPr>
        <w:rPr>
          <w:rFonts w:ascii="Arial" w:hAnsi="Arial" w:cs="Arial"/>
        </w:rPr>
      </w:pPr>
      <w:proofErr w:type="spellStart"/>
      <w:r w:rsidRPr="00504456">
        <w:rPr>
          <w:rFonts w:ascii="Arial" w:hAnsi="Arial" w:cs="Arial"/>
        </w:rPr>
        <w:t>EGMs</w:t>
      </w:r>
      <w:proofErr w:type="spellEnd"/>
    </w:p>
    <w:p w:rsidR="00A14868" w:rsidRPr="00504456" w:rsidRDefault="00A14868" w:rsidP="00036CC5">
      <w:pPr>
        <w:numPr>
          <w:ilvl w:val="0"/>
          <w:numId w:val="22"/>
        </w:numPr>
        <w:rPr>
          <w:rFonts w:ascii="Arial" w:hAnsi="Arial" w:cs="Arial"/>
        </w:rPr>
      </w:pPr>
      <w:r w:rsidRPr="00504456">
        <w:rPr>
          <w:rFonts w:ascii="Arial" w:hAnsi="Arial" w:cs="Arial"/>
        </w:rPr>
        <w:t>club keno</w:t>
      </w:r>
    </w:p>
    <w:p w:rsidR="00A14868" w:rsidRPr="00504456" w:rsidRDefault="00A14868" w:rsidP="00036CC5">
      <w:pPr>
        <w:numPr>
          <w:ilvl w:val="0"/>
          <w:numId w:val="22"/>
        </w:numPr>
        <w:rPr>
          <w:rFonts w:ascii="Arial" w:hAnsi="Arial" w:cs="Arial"/>
        </w:rPr>
      </w:pPr>
      <w:r w:rsidRPr="00504456">
        <w:rPr>
          <w:rFonts w:ascii="Arial" w:hAnsi="Arial" w:cs="Arial"/>
          <w:color w:val="000000"/>
        </w:rPr>
        <w:t>casino</w:t>
      </w:r>
      <w:r w:rsidRPr="00504456">
        <w:rPr>
          <w:rFonts w:ascii="Arial" w:hAnsi="Arial" w:cs="Arial"/>
        </w:rPr>
        <w:t xml:space="preserve"> table games</w:t>
      </w:r>
    </w:p>
    <w:p w:rsidR="00A14868" w:rsidRPr="00504456" w:rsidRDefault="00A14868" w:rsidP="00036CC5">
      <w:pPr>
        <w:numPr>
          <w:ilvl w:val="0"/>
          <w:numId w:val="22"/>
        </w:numPr>
        <w:rPr>
          <w:rFonts w:ascii="Arial" w:hAnsi="Arial" w:cs="Arial"/>
        </w:rPr>
      </w:pPr>
      <w:r w:rsidRPr="00504456">
        <w:rPr>
          <w:rFonts w:ascii="Arial" w:hAnsi="Arial" w:cs="Arial"/>
        </w:rPr>
        <w:t xml:space="preserve">lotteries </w:t>
      </w:r>
    </w:p>
    <w:p w:rsidR="00A14868" w:rsidRPr="00504456" w:rsidRDefault="00A14868" w:rsidP="00036CC5">
      <w:pPr>
        <w:numPr>
          <w:ilvl w:val="0"/>
          <w:numId w:val="22"/>
        </w:numPr>
        <w:rPr>
          <w:rFonts w:ascii="Arial" w:hAnsi="Arial" w:cs="Arial"/>
        </w:rPr>
      </w:pPr>
      <w:r w:rsidRPr="00504456">
        <w:rPr>
          <w:rFonts w:ascii="Arial" w:hAnsi="Arial" w:cs="Arial"/>
        </w:rPr>
        <w:t>wagering (racing or sports betting)</w:t>
      </w:r>
    </w:p>
    <w:p w:rsidR="00A14868" w:rsidRPr="00504456" w:rsidRDefault="00A14868" w:rsidP="00036CC5">
      <w:pPr>
        <w:numPr>
          <w:ilvl w:val="0"/>
          <w:numId w:val="22"/>
        </w:numPr>
        <w:rPr>
          <w:rFonts w:ascii="Arial" w:hAnsi="Arial" w:cs="Arial"/>
        </w:rPr>
      </w:pPr>
      <w:r w:rsidRPr="00504456">
        <w:rPr>
          <w:rFonts w:ascii="Arial" w:hAnsi="Arial" w:cs="Arial"/>
        </w:rPr>
        <w:t>online gambling</w:t>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As the primary focus of this policy is on </w:t>
      </w:r>
      <w:proofErr w:type="spellStart"/>
      <w:r w:rsidRPr="00504456">
        <w:rPr>
          <w:rFonts w:ascii="Arial" w:hAnsi="Arial" w:cs="Arial"/>
        </w:rPr>
        <w:t>EGM</w:t>
      </w:r>
      <w:proofErr w:type="spellEnd"/>
      <w:r w:rsidRPr="00504456">
        <w:rPr>
          <w:rFonts w:ascii="Arial" w:hAnsi="Arial" w:cs="Arial"/>
        </w:rPr>
        <w:t xml:space="preserve"> gambling, the following section provides background information about the policy environment and context for </w:t>
      </w:r>
      <w:proofErr w:type="spellStart"/>
      <w:r w:rsidRPr="00504456">
        <w:rPr>
          <w:rFonts w:ascii="Arial" w:hAnsi="Arial" w:cs="Arial"/>
        </w:rPr>
        <w:t>EGM</w:t>
      </w:r>
      <w:proofErr w:type="spellEnd"/>
      <w:r w:rsidRPr="00504456">
        <w:rPr>
          <w:rFonts w:ascii="Arial" w:hAnsi="Arial" w:cs="Arial"/>
        </w:rPr>
        <w:t xml:space="preserve"> gambling only.</w:t>
      </w:r>
    </w:p>
    <w:p w:rsidR="00A14868" w:rsidRPr="00504456" w:rsidRDefault="00A14868" w:rsidP="00A14868">
      <w:pPr>
        <w:pStyle w:val="Heading2"/>
        <w:rPr>
          <w:rFonts w:cs="Arial"/>
        </w:rPr>
      </w:pPr>
      <w:bookmarkStart w:id="7" w:name="_Toc372787022"/>
      <w:r w:rsidRPr="00504456">
        <w:lastRenderedPageBreak/>
        <w:t>Policy environment</w:t>
      </w:r>
      <w:bookmarkEnd w:id="7"/>
    </w:p>
    <w:p w:rsidR="00A14868" w:rsidRPr="00504456" w:rsidRDefault="00A14868" w:rsidP="00A14868">
      <w:pPr>
        <w:rPr>
          <w:rFonts w:ascii="Arial" w:hAnsi="Arial" w:cs="Arial"/>
          <w:color w:val="000000"/>
        </w:rPr>
      </w:pPr>
      <w:r w:rsidRPr="00504456">
        <w:rPr>
          <w:rFonts w:ascii="Arial" w:hAnsi="Arial" w:cs="Arial"/>
          <w:color w:val="000000"/>
        </w:rPr>
        <w:t xml:space="preserve">Since Council's previous Gaming Policy 2008 was adopted, there have been a number of changes in the </w:t>
      </w:r>
      <w:proofErr w:type="spellStart"/>
      <w:r w:rsidRPr="00504456">
        <w:rPr>
          <w:rFonts w:ascii="Arial" w:hAnsi="Arial" w:cs="Arial"/>
          <w:color w:val="000000"/>
        </w:rPr>
        <w:t>EGM</w:t>
      </w:r>
      <w:proofErr w:type="spellEnd"/>
      <w:r w:rsidRPr="00504456">
        <w:rPr>
          <w:rFonts w:ascii="Arial" w:hAnsi="Arial" w:cs="Arial"/>
          <w:color w:val="000000"/>
        </w:rPr>
        <w:t xml:space="preserve"> gambling environment in Victoria. </w:t>
      </w:r>
      <w:r w:rsidR="008E083B" w:rsidRPr="00504456">
        <w:rPr>
          <w:rFonts w:ascii="Arial" w:hAnsi="Arial" w:cs="Arial"/>
          <w:color w:val="000000"/>
        </w:rPr>
        <w:t>The findings</w:t>
      </w:r>
      <w:r w:rsidR="0096251C" w:rsidRPr="00504456">
        <w:rPr>
          <w:rFonts w:ascii="Arial" w:hAnsi="Arial" w:cs="Arial"/>
          <w:color w:val="000000"/>
        </w:rPr>
        <w:t xml:space="preserve"> from</w:t>
      </w:r>
      <w:r w:rsidR="008E083B" w:rsidRPr="00504456">
        <w:rPr>
          <w:rFonts w:ascii="Arial" w:hAnsi="Arial" w:cs="Arial"/>
          <w:color w:val="000000"/>
        </w:rPr>
        <w:t xml:space="preserve"> reports of two government inquiries into the impacts of gambling have been released: </w:t>
      </w:r>
      <w:r w:rsidRPr="00504456">
        <w:rPr>
          <w:rFonts w:ascii="Arial" w:hAnsi="Arial" w:cs="Arial"/>
          <w:color w:val="000000"/>
        </w:rPr>
        <w:t xml:space="preserve">the </w:t>
      </w:r>
      <w:r w:rsidR="008E083B" w:rsidRPr="00504456">
        <w:rPr>
          <w:rFonts w:ascii="Arial" w:hAnsi="Arial" w:cs="Arial"/>
          <w:color w:val="000000"/>
        </w:rPr>
        <w:t xml:space="preserve">Australian Government </w:t>
      </w:r>
      <w:r w:rsidRPr="00504456">
        <w:rPr>
          <w:rFonts w:ascii="Arial" w:hAnsi="Arial" w:cs="Arial"/>
          <w:color w:val="000000"/>
        </w:rPr>
        <w:t xml:space="preserve">Productivity Commission's 2010 </w:t>
      </w:r>
      <w:r w:rsidR="0086438D" w:rsidRPr="00504456">
        <w:rPr>
          <w:rFonts w:ascii="Arial" w:hAnsi="Arial" w:cs="Arial"/>
          <w:color w:val="000000"/>
        </w:rPr>
        <w:t>report on</w:t>
      </w:r>
      <w:r w:rsidRPr="00504456">
        <w:rPr>
          <w:rFonts w:ascii="Arial" w:hAnsi="Arial" w:cs="Arial"/>
          <w:color w:val="000000"/>
        </w:rPr>
        <w:t xml:space="preserve"> Australia's gambling industries</w:t>
      </w:r>
      <w:r w:rsidR="008E083B" w:rsidRPr="00504456">
        <w:rPr>
          <w:rFonts w:ascii="Arial" w:hAnsi="Arial" w:cs="Arial"/>
          <w:color w:val="000000"/>
        </w:rPr>
        <w:t xml:space="preserve">; and the Victorian Competition and Efficiency Commission's </w:t>
      </w:r>
      <w:r w:rsidR="0086438D" w:rsidRPr="00504456">
        <w:rPr>
          <w:rFonts w:ascii="Arial" w:hAnsi="Arial" w:cs="Arial"/>
          <w:color w:val="000000"/>
        </w:rPr>
        <w:t>2012 report on the costs of problem g</w:t>
      </w:r>
      <w:r w:rsidR="008E083B" w:rsidRPr="00504456">
        <w:rPr>
          <w:rFonts w:ascii="Arial" w:hAnsi="Arial" w:cs="Arial"/>
          <w:color w:val="000000"/>
        </w:rPr>
        <w:t xml:space="preserve">ambling. </w:t>
      </w:r>
    </w:p>
    <w:p w:rsidR="00A14868" w:rsidRPr="00504456" w:rsidRDefault="008E083B" w:rsidP="00A14868">
      <w:pPr>
        <w:pStyle w:val="Heading3"/>
        <w:rPr>
          <w:rFonts w:cs="Arial"/>
          <w:b w:val="0"/>
          <w:bCs w:val="0"/>
          <w:sz w:val="24"/>
          <w:szCs w:val="24"/>
        </w:rPr>
      </w:pPr>
      <w:bookmarkStart w:id="8" w:name="_Toc372787023"/>
      <w:r w:rsidRPr="00504456">
        <w:rPr>
          <w:sz w:val="24"/>
          <w:szCs w:val="24"/>
        </w:rPr>
        <w:t>Australian Government</w:t>
      </w:r>
      <w:r w:rsidRPr="00504456">
        <w:rPr>
          <w:rFonts w:cs="Arial"/>
          <w:color w:val="000000"/>
        </w:rPr>
        <w:t xml:space="preserve"> </w:t>
      </w:r>
      <w:r w:rsidR="00BF74CC" w:rsidRPr="00504456">
        <w:rPr>
          <w:sz w:val="24"/>
          <w:szCs w:val="24"/>
        </w:rPr>
        <w:t>Productivity Commission's Gambling Report</w:t>
      </w:r>
      <w:bookmarkEnd w:id="8"/>
    </w:p>
    <w:p w:rsidR="00A14868" w:rsidRPr="00504456" w:rsidRDefault="00A14868" w:rsidP="00A14868">
      <w:pPr>
        <w:pStyle w:val="BodyText"/>
        <w:spacing w:after="0" w:line="240" w:lineRule="auto"/>
        <w:rPr>
          <w:rFonts w:cs="Arial"/>
          <w:sz w:val="24"/>
        </w:rPr>
      </w:pPr>
      <w:r w:rsidRPr="00504456">
        <w:rPr>
          <w:rFonts w:cs="Arial"/>
          <w:sz w:val="24"/>
        </w:rPr>
        <w:t xml:space="preserve">The Productivity Commission's Gambling Report (2010) provided an update on the Productivity Commission's 1999 report and some additional research into the impacts of harm </w:t>
      </w:r>
      <w:proofErr w:type="spellStart"/>
      <w:r w:rsidRPr="00504456">
        <w:rPr>
          <w:rFonts w:cs="Arial"/>
          <w:sz w:val="24"/>
        </w:rPr>
        <w:t>minimisation</w:t>
      </w:r>
      <w:proofErr w:type="spellEnd"/>
      <w:r w:rsidRPr="00504456">
        <w:rPr>
          <w:rFonts w:cs="Arial"/>
          <w:sz w:val="24"/>
        </w:rPr>
        <w:t xml:space="preserve"> measures. The report found that </w:t>
      </w:r>
      <w:proofErr w:type="spellStart"/>
      <w:r w:rsidRPr="00504456">
        <w:rPr>
          <w:rFonts w:cs="Arial"/>
          <w:sz w:val="24"/>
        </w:rPr>
        <w:t>EGM</w:t>
      </w:r>
      <w:proofErr w:type="spellEnd"/>
      <w:r w:rsidRPr="00504456">
        <w:rPr>
          <w:rFonts w:cs="Arial"/>
          <w:sz w:val="24"/>
        </w:rPr>
        <w:t xml:space="preserve"> gambling poses significant risks compared to other types of gambling: </w:t>
      </w:r>
    </w:p>
    <w:p w:rsidR="00A14868" w:rsidRPr="00504456" w:rsidRDefault="00302071" w:rsidP="00A14868">
      <w:pPr>
        <w:numPr>
          <w:ilvl w:val="0"/>
          <w:numId w:val="12"/>
        </w:numPr>
        <w:rPr>
          <w:rFonts w:cs="Arial"/>
        </w:rPr>
      </w:pPr>
      <w:r w:rsidRPr="00504456">
        <w:rPr>
          <w:rFonts w:ascii="Arial" w:hAnsi="Arial" w:cs="Arial"/>
        </w:rPr>
        <w:t xml:space="preserve">Although 70-75 per cent of Australian adults do not play </w:t>
      </w:r>
      <w:proofErr w:type="spellStart"/>
      <w:r w:rsidR="00A14868" w:rsidRPr="00504456">
        <w:rPr>
          <w:rFonts w:ascii="Arial" w:hAnsi="Arial" w:cs="Arial"/>
        </w:rPr>
        <w:t>EGMs</w:t>
      </w:r>
      <w:proofErr w:type="spellEnd"/>
      <w:r w:rsidR="00A14868" w:rsidRPr="00504456">
        <w:rPr>
          <w:rFonts w:ascii="Arial" w:hAnsi="Arial" w:cs="Arial"/>
        </w:rPr>
        <w:t xml:space="preserve"> </w:t>
      </w:r>
      <w:r w:rsidRPr="00504456">
        <w:rPr>
          <w:rFonts w:ascii="Arial" w:hAnsi="Arial" w:cs="Arial"/>
        </w:rPr>
        <w:t xml:space="preserve">at all, this type of gambling </w:t>
      </w:r>
      <w:r w:rsidR="00A14868" w:rsidRPr="00504456">
        <w:rPr>
          <w:rFonts w:ascii="Arial" w:hAnsi="Arial" w:cs="Arial"/>
        </w:rPr>
        <w:t>account</w:t>
      </w:r>
      <w:r w:rsidRPr="00504456">
        <w:rPr>
          <w:rFonts w:ascii="Arial" w:hAnsi="Arial" w:cs="Arial"/>
        </w:rPr>
        <w:t>s</w:t>
      </w:r>
      <w:r w:rsidR="00A14868" w:rsidRPr="00504456">
        <w:rPr>
          <w:rFonts w:ascii="Arial" w:hAnsi="Arial" w:cs="Arial"/>
        </w:rPr>
        <w:t xml:space="preserve"> for the highest proportion of overall gambling expenditure in Australia (62 per cent).</w:t>
      </w:r>
      <w:r w:rsidR="00A14868" w:rsidRPr="00504456">
        <w:rPr>
          <w:rStyle w:val="FootnoteReference"/>
          <w:rFonts w:ascii="Arial" w:hAnsi="Arial" w:cs="Arial"/>
        </w:rPr>
        <w:footnoteReference w:id="1"/>
      </w:r>
    </w:p>
    <w:p w:rsidR="00A14868" w:rsidRPr="00504456" w:rsidRDefault="00A14868" w:rsidP="00A14868">
      <w:pPr>
        <w:numPr>
          <w:ilvl w:val="0"/>
          <w:numId w:val="12"/>
        </w:numPr>
        <w:rPr>
          <w:rFonts w:ascii="Arial" w:hAnsi="Arial" w:cs="Arial"/>
        </w:rPr>
      </w:pPr>
      <w:r w:rsidRPr="00504456">
        <w:rPr>
          <w:rFonts w:ascii="Arial" w:hAnsi="Arial" w:cs="Arial"/>
        </w:rPr>
        <w:t xml:space="preserve">The risks of problem gambling increase significantly with the frequency of playing </w:t>
      </w:r>
      <w:proofErr w:type="spellStart"/>
      <w:r w:rsidRPr="00504456">
        <w:rPr>
          <w:rFonts w:ascii="Arial" w:hAnsi="Arial" w:cs="Arial"/>
        </w:rPr>
        <w:t>EGMs</w:t>
      </w:r>
      <w:proofErr w:type="spellEnd"/>
      <w:r w:rsidRPr="00504456">
        <w:rPr>
          <w:rFonts w:ascii="Arial" w:hAnsi="Arial" w:cs="Arial"/>
        </w:rPr>
        <w:t>.</w:t>
      </w:r>
      <w:r w:rsidRPr="00504456">
        <w:rPr>
          <w:rStyle w:val="FootnoteReference"/>
          <w:rFonts w:ascii="Arial" w:hAnsi="Arial" w:cs="Arial"/>
        </w:rPr>
        <w:footnoteReference w:id="2"/>
      </w:r>
      <w:r w:rsidRPr="00504456">
        <w:rPr>
          <w:rFonts w:ascii="Arial" w:hAnsi="Arial" w:cs="Arial"/>
        </w:rPr>
        <w:t xml:space="preserve"> Problem gambling, according to Gambling Research Australia, is </w:t>
      </w:r>
      <w:proofErr w:type="spellStart"/>
      <w:r w:rsidRPr="00504456">
        <w:rPr>
          <w:rFonts w:ascii="Arial" w:hAnsi="Arial" w:cs="Arial"/>
        </w:rPr>
        <w:t>characterised</w:t>
      </w:r>
      <w:proofErr w:type="spellEnd"/>
      <w:r w:rsidRPr="00504456">
        <w:rPr>
          <w:rFonts w:ascii="Arial" w:hAnsi="Arial" w:cs="Arial"/>
        </w:rPr>
        <w:t xml:space="preserve"> by difficulties in limiting money and/or time spent on gambling, which leads to adverse consequences for the gambler, others, or for the community.</w:t>
      </w:r>
      <w:r w:rsidRPr="00504456">
        <w:rPr>
          <w:rStyle w:val="FootnoteReference"/>
          <w:rFonts w:ascii="Arial" w:hAnsi="Arial" w:cs="Arial"/>
        </w:rPr>
        <w:footnoteReference w:id="3"/>
      </w:r>
    </w:p>
    <w:p w:rsidR="00A14868" w:rsidRPr="00504456" w:rsidRDefault="00A14868" w:rsidP="00A14868">
      <w:pPr>
        <w:numPr>
          <w:ilvl w:val="0"/>
          <w:numId w:val="12"/>
        </w:numPr>
        <w:rPr>
          <w:rFonts w:ascii="Arial" w:hAnsi="Arial" w:cs="Arial"/>
        </w:rPr>
      </w:pPr>
      <w:r w:rsidRPr="00504456">
        <w:rPr>
          <w:rFonts w:ascii="Arial" w:hAnsi="Arial" w:cs="Arial"/>
        </w:rPr>
        <w:t xml:space="preserve">Approximately 600,000 Australians (four per cent of the adult population) play </w:t>
      </w:r>
      <w:proofErr w:type="spellStart"/>
      <w:r w:rsidRPr="00504456">
        <w:rPr>
          <w:rFonts w:ascii="Arial" w:hAnsi="Arial" w:cs="Arial"/>
        </w:rPr>
        <w:t>EGMs</w:t>
      </w:r>
      <w:proofErr w:type="spellEnd"/>
      <w:r w:rsidRPr="00504456">
        <w:rPr>
          <w:rFonts w:ascii="Arial" w:hAnsi="Arial" w:cs="Arial"/>
        </w:rPr>
        <w:t xml:space="preserve"> at least weekly. While around 15 per cent of these regular </w:t>
      </w:r>
      <w:proofErr w:type="spellStart"/>
      <w:r w:rsidRPr="00504456">
        <w:rPr>
          <w:rFonts w:ascii="Arial" w:hAnsi="Arial" w:cs="Arial"/>
        </w:rPr>
        <w:t>EGM</w:t>
      </w:r>
      <w:proofErr w:type="spellEnd"/>
      <w:r w:rsidRPr="00504456">
        <w:rPr>
          <w:rFonts w:ascii="Arial" w:hAnsi="Arial" w:cs="Arial"/>
        </w:rPr>
        <w:t xml:space="preserve"> players have gambling problems, a further 15 per cent experience moderate risks.</w:t>
      </w:r>
    </w:p>
    <w:p w:rsidR="00A14868" w:rsidRPr="00504456" w:rsidRDefault="00A14868" w:rsidP="00A14868">
      <w:pPr>
        <w:numPr>
          <w:ilvl w:val="0"/>
          <w:numId w:val="12"/>
        </w:numPr>
        <w:rPr>
          <w:rFonts w:ascii="Arial" w:hAnsi="Arial" w:cs="Arial"/>
        </w:rPr>
      </w:pPr>
      <w:r w:rsidRPr="00504456">
        <w:rPr>
          <w:rFonts w:ascii="Arial" w:hAnsi="Arial" w:cs="Arial"/>
        </w:rPr>
        <w:t xml:space="preserve">Around 75 to 80 per cent of people with gambling problems play </w:t>
      </w:r>
      <w:proofErr w:type="spellStart"/>
      <w:r w:rsidRPr="00504456">
        <w:rPr>
          <w:rFonts w:ascii="Arial" w:hAnsi="Arial" w:cs="Arial"/>
        </w:rPr>
        <w:t>EGMs</w:t>
      </w:r>
      <w:proofErr w:type="spellEnd"/>
      <w:r w:rsidRPr="00504456">
        <w:rPr>
          <w:rFonts w:ascii="Arial" w:hAnsi="Arial" w:cs="Arial"/>
        </w:rPr>
        <w:t>.</w:t>
      </w:r>
    </w:p>
    <w:p w:rsidR="00A14868" w:rsidRPr="00504456" w:rsidRDefault="00A14868" w:rsidP="00A14868">
      <w:pPr>
        <w:numPr>
          <w:ilvl w:val="0"/>
          <w:numId w:val="12"/>
        </w:numPr>
        <w:rPr>
          <w:rFonts w:ascii="Arial" w:hAnsi="Arial" w:cs="Arial"/>
        </w:rPr>
      </w:pPr>
      <w:r w:rsidRPr="00504456">
        <w:rPr>
          <w:rFonts w:ascii="Arial" w:hAnsi="Arial" w:cs="Arial"/>
        </w:rPr>
        <w:t xml:space="preserve">Of the total amount gambled on </w:t>
      </w:r>
      <w:proofErr w:type="spellStart"/>
      <w:r w:rsidRPr="00504456">
        <w:rPr>
          <w:rFonts w:ascii="Arial" w:hAnsi="Arial" w:cs="Arial"/>
        </w:rPr>
        <w:t>EGMs</w:t>
      </w:r>
      <w:proofErr w:type="spellEnd"/>
      <w:r w:rsidRPr="00504456">
        <w:rPr>
          <w:rFonts w:ascii="Arial" w:hAnsi="Arial" w:cs="Arial"/>
        </w:rPr>
        <w:t xml:space="preserve">, problem gamblers account for around 40 per cent of the total losses (the average of a range of estimates </w:t>
      </w:r>
      <w:r w:rsidR="000F07FC" w:rsidRPr="00504456">
        <w:rPr>
          <w:rFonts w:ascii="Arial" w:hAnsi="Arial" w:cs="Arial"/>
        </w:rPr>
        <w:t xml:space="preserve">from </w:t>
      </w:r>
      <w:r w:rsidRPr="00504456">
        <w:rPr>
          <w:rFonts w:ascii="Arial" w:hAnsi="Arial" w:cs="Arial"/>
        </w:rPr>
        <w:t>20 per cent</w:t>
      </w:r>
      <w:r w:rsidR="003202CF" w:rsidRPr="00504456">
        <w:rPr>
          <w:rFonts w:ascii="Arial" w:hAnsi="Arial" w:cs="Arial"/>
        </w:rPr>
        <w:t xml:space="preserve"> </w:t>
      </w:r>
      <w:r w:rsidR="000F07FC" w:rsidRPr="00504456">
        <w:rPr>
          <w:rFonts w:ascii="Arial" w:hAnsi="Arial" w:cs="Arial"/>
        </w:rPr>
        <w:t>to</w:t>
      </w:r>
      <w:r w:rsidR="003202CF" w:rsidRPr="00504456">
        <w:rPr>
          <w:rFonts w:ascii="Arial" w:hAnsi="Arial" w:cs="Arial"/>
        </w:rPr>
        <w:t xml:space="preserve"> </w:t>
      </w:r>
      <w:r w:rsidRPr="00504456">
        <w:rPr>
          <w:rFonts w:ascii="Arial" w:hAnsi="Arial" w:cs="Arial"/>
        </w:rPr>
        <w:t>60 per cent).</w:t>
      </w:r>
    </w:p>
    <w:p w:rsidR="00A14868" w:rsidRPr="00504456" w:rsidRDefault="00A14868" w:rsidP="00A14868">
      <w:pPr>
        <w:numPr>
          <w:ilvl w:val="0"/>
          <w:numId w:val="12"/>
        </w:numPr>
        <w:rPr>
          <w:rFonts w:ascii="Arial" w:hAnsi="Arial" w:cs="Arial"/>
        </w:rPr>
      </w:pPr>
      <w:r w:rsidRPr="00504456">
        <w:rPr>
          <w:rFonts w:ascii="Arial" w:hAnsi="Arial" w:cs="Arial"/>
        </w:rPr>
        <w:t xml:space="preserve">Recreational gamblers typically play </w:t>
      </w:r>
      <w:proofErr w:type="spellStart"/>
      <w:r w:rsidRPr="00504456">
        <w:rPr>
          <w:rFonts w:ascii="Arial" w:hAnsi="Arial" w:cs="Arial"/>
        </w:rPr>
        <w:t>EGMs</w:t>
      </w:r>
      <w:proofErr w:type="spellEnd"/>
      <w:r w:rsidRPr="00504456">
        <w:rPr>
          <w:rFonts w:ascii="Arial" w:hAnsi="Arial" w:cs="Arial"/>
        </w:rPr>
        <w:t xml:space="preserve"> at low intensity. However, if </w:t>
      </w:r>
      <w:proofErr w:type="spellStart"/>
      <w:r w:rsidRPr="00504456">
        <w:rPr>
          <w:rFonts w:ascii="Arial" w:hAnsi="Arial" w:cs="Arial"/>
        </w:rPr>
        <w:t>EGMs</w:t>
      </w:r>
      <w:proofErr w:type="spellEnd"/>
      <w:r w:rsidRPr="00504456">
        <w:rPr>
          <w:rFonts w:ascii="Arial" w:hAnsi="Arial" w:cs="Arial"/>
        </w:rPr>
        <w:t xml:space="preserve"> are played at high intensity, players can lose up to $1,500 or more an hour.</w:t>
      </w:r>
    </w:p>
    <w:p w:rsidR="00A14868" w:rsidRPr="00504456" w:rsidRDefault="00A14868" w:rsidP="00A14868">
      <w:pPr>
        <w:numPr>
          <w:ilvl w:val="0"/>
          <w:numId w:val="12"/>
        </w:numPr>
        <w:rPr>
          <w:rFonts w:ascii="Arial" w:hAnsi="Arial" w:cs="Arial"/>
        </w:rPr>
      </w:pPr>
      <w:r w:rsidRPr="00504456">
        <w:rPr>
          <w:rFonts w:ascii="Arial" w:hAnsi="Arial" w:cs="Arial"/>
        </w:rPr>
        <w:t xml:space="preserve">There is widespread misunderstanding about how </w:t>
      </w:r>
      <w:proofErr w:type="spellStart"/>
      <w:r w:rsidRPr="00504456">
        <w:rPr>
          <w:rFonts w:ascii="Arial" w:hAnsi="Arial" w:cs="Arial"/>
        </w:rPr>
        <w:t>EGMs</w:t>
      </w:r>
      <w:proofErr w:type="spellEnd"/>
      <w:r w:rsidRPr="00504456">
        <w:rPr>
          <w:rFonts w:ascii="Arial" w:hAnsi="Arial" w:cs="Arial"/>
        </w:rPr>
        <w:t xml:space="preserve"> work. For example, research shows that gamblers believe that they can recover losses by continuing to play and </w:t>
      </w:r>
      <w:proofErr w:type="gramStart"/>
      <w:r w:rsidRPr="00504456">
        <w:rPr>
          <w:rFonts w:ascii="Arial" w:hAnsi="Arial" w:cs="Arial"/>
        </w:rPr>
        <w:t>that</w:t>
      </w:r>
      <w:proofErr w:type="gramEnd"/>
      <w:r w:rsidRPr="00504456">
        <w:rPr>
          <w:rFonts w:ascii="Arial" w:hAnsi="Arial" w:cs="Arial"/>
        </w:rPr>
        <w:t xml:space="preserve"> </w:t>
      </w:r>
      <w:proofErr w:type="spellStart"/>
      <w:r w:rsidRPr="00504456">
        <w:rPr>
          <w:rFonts w:ascii="Arial" w:hAnsi="Arial" w:cs="Arial"/>
        </w:rPr>
        <w:t>EGMs</w:t>
      </w:r>
      <w:proofErr w:type="spellEnd"/>
      <w:r w:rsidRPr="00504456">
        <w:rPr>
          <w:rFonts w:ascii="Arial" w:hAnsi="Arial" w:cs="Arial"/>
        </w:rPr>
        <w:t xml:space="preserve"> run 'hot' or 'cold'. </w:t>
      </w:r>
    </w:p>
    <w:p w:rsidR="00A14868" w:rsidRPr="00504456" w:rsidRDefault="00A14868" w:rsidP="00A14868">
      <w:pPr>
        <w:numPr>
          <w:ilvl w:val="0"/>
          <w:numId w:val="12"/>
        </w:numPr>
        <w:rPr>
          <w:rFonts w:ascii="Arial" w:hAnsi="Arial" w:cs="Arial"/>
        </w:rPr>
      </w:pPr>
      <w:r w:rsidRPr="00504456">
        <w:rPr>
          <w:rFonts w:ascii="Arial" w:hAnsi="Arial" w:cs="Arial"/>
        </w:rPr>
        <w:t xml:space="preserve">The price of playing </w:t>
      </w:r>
      <w:proofErr w:type="spellStart"/>
      <w:r w:rsidRPr="00504456">
        <w:rPr>
          <w:rFonts w:ascii="Arial" w:hAnsi="Arial" w:cs="Arial"/>
        </w:rPr>
        <w:t>EGMs</w:t>
      </w:r>
      <w:proofErr w:type="spellEnd"/>
      <w:r w:rsidRPr="00504456">
        <w:rPr>
          <w:rFonts w:ascii="Arial" w:hAnsi="Arial" w:cs="Arial"/>
        </w:rPr>
        <w:t xml:space="preserve"> is poorly disclosed, with gamblers underestimating their losses.</w:t>
      </w:r>
      <w:r w:rsidRPr="00504456">
        <w:rPr>
          <w:rStyle w:val="FootnoteReference"/>
          <w:rFonts w:ascii="Arial" w:hAnsi="Arial" w:cs="Arial"/>
        </w:rPr>
        <w:footnoteReference w:id="4"/>
      </w:r>
    </w:p>
    <w:p w:rsidR="00A14868" w:rsidRPr="00504456" w:rsidRDefault="00A14868" w:rsidP="00A14868">
      <w:pPr>
        <w:ind w:left="360"/>
        <w:rPr>
          <w:rFonts w:ascii="Arial" w:hAnsi="Arial" w:cs="Arial"/>
        </w:rPr>
      </w:pPr>
    </w:p>
    <w:p w:rsidR="00A14868" w:rsidRPr="00504456" w:rsidRDefault="00A14868" w:rsidP="00A14868">
      <w:pPr>
        <w:rPr>
          <w:rFonts w:ascii="Arial" w:hAnsi="Arial" w:cs="Arial"/>
        </w:rPr>
      </w:pPr>
      <w:r w:rsidRPr="00504456">
        <w:rPr>
          <w:rFonts w:ascii="Arial" w:hAnsi="Arial" w:cs="Arial"/>
        </w:rPr>
        <w:t>The report also found that for gamblers</w:t>
      </w:r>
      <w:r w:rsidR="0096251C" w:rsidRPr="00504456">
        <w:rPr>
          <w:rFonts w:ascii="Arial" w:hAnsi="Arial" w:cs="Arial"/>
        </w:rPr>
        <w:t>,</w:t>
      </w:r>
      <w:r w:rsidRPr="00504456">
        <w:rPr>
          <w:rFonts w:ascii="Arial" w:hAnsi="Arial" w:cs="Arial"/>
        </w:rPr>
        <w:t xml:space="preserve"> </w:t>
      </w:r>
      <w:proofErr w:type="spellStart"/>
      <w:r w:rsidRPr="00504456">
        <w:rPr>
          <w:rFonts w:ascii="Arial" w:hAnsi="Arial" w:cs="Arial"/>
        </w:rPr>
        <w:t>EGMs</w:t>
      </w:r>
      <w:proofErr w:type="spellEnd"/>
      <w:r w:rsidRPr="00504456">
        <w:rPr>
          <w:rFonts w:ascii="Arial" w:hAnsi="Arial" w:cs="Arial"/>
        </w:rPr>
        <w:t xml:space="preserve"> are probably one of the most important sources of enjoyment and that for many Australians gambling provides significant </w:t>
      </w:r>
      <w:r w:rsidR="00A756B1" w:rsidRPr="00504456">
        <w:rPr>
          <w:rFonts w:ascii="Arial" w:hAnsi="Arial" w:cs="Arial"/>
        </w:rPr>
        <w:t>pleasure</w:t>
      </w:r>
      <w:r w:rsidRPr="00504456">
        <w:rPr>
          <w:rFonts w:ascii="Arial" w:hAnsi="Arial" w:cs="Arial"/>
        </w:rPr>
        <w:t>. Benefits provided to the community by the gambling industry include employment opportunities and the provision of gambling venues that are often seen to be accessible, friendly and secure. It is also an important source of revenue for governments.</w:t>
      </w:r>
      <w:r w:rsidRPr="00504456">
        <w:rPr>
          <w:rStyle w:val="FootnoteReference"/>
          <w:rFonts w:ascii="Arial" w:hAnsi="Arial" w:cs="Arial"/>
        </w:rPr>
        <w:footnoteReference w:id="5"/>
      </w:r>
      <w:r w:rsidRPr="00504456">
        <w:rPr>
          <w:rFonts w:ascii="Arial" w:hAnsi="Arial" w:cs="Arial"/>
        </w:rPr>
        <w:t xml:space="preserve"> </w:t>
      </w:r>
    </w:p>
    <w:p w:rsidR="00A14868" w:rsidRPr="00504456" w:rsidRDefault="00A14868" w:rsidP="00A14868">
      <w:pPr>
        <w:rPr>
          <w:rFonts w:ascii="Arial" w:hAnsi="Arial" w:cs="Arial"/>
        </w:rPr>
      </w:pPr>
    </w:p>
    <w:p w:rsidR="00A14868" w:rsidRPr="00504456" w:rsidRDefault="00B555E4" w:rsidP="00A14868">
      <w:pPr>
        <w:rPr>
          <w:rFonts w:ascii="Arial" w:hAnsi="Arial" w:cs="Arial"/>
          <w:color w:val="000000"/>
        </w:rPr>
      </w:pPr>
      <w:r w:rsidRPr="00504456">
        <w:rPr>
          <w:rFonts w:ascii="Arial" w:hAnsi="Arial" w:cs="Arial"/>
          <w:color w:val="000000"/>
        </w:rPr>
        <w:lastRenderedPageBreak/>
        <w:t xml:space="preserve">The report estimated the costs and benefits of gambling in Australia. </w:t>
      </w:r>
      <w:r w:rsidR="00F04141" w:rsidRPr="00504456">
        <w:rPr>
          <w:rFonts w:ascii="Arial" w:hAnsi="Arial" w:cs="Arial"/>
          <w:color w:val="000000"/>
        </w:rPr>
        <w:t xml:space="preserve">While it was not possible to be definitive about the costs and benefits, the Productivity Commission estimated </w:t>
      </w:r>
      <w:r w:rsidR="00F768F4" w:rsidRPr="00504456">
        <w:rPr>
          <w:rFonts w:ascii="Arial" w:hAnsi="Arial" w:cs="Arial"/>
          <w:color w:val="000000"/>
        </w:rPr>
        <w:t xml:space="preserve">wide </w:t>
      </w:r>
      <w:r w:rsidR="00F04141" w:rsidRPr="00504456">
        <w:rPr>
          <w:rFonts w:ascii="Arial" w:hAnsi="Arial" w:cs="Arial"/>
          <w:color w:val="000000"/>
        </w:rPr>
        <w:t>ranges based on the lowest and highest imp</w:t>
      </w:r>
      <w:r w:rsidR="00AD7135" w:rsidRPr="00504456">
        <w:rPr>
          <w:rFonts w:ascii="Arial" w:hAnsi="Arial" w:cs="Arial"/>
          <w:color w:val="000000"/>
        </w:rPr>
        <w:t>act</w:t>
      </w:r>
      <w:r w:rsidR="004A6E7C" w:rsidRPr="00504456">
        <w:rPr>
          <w:rFonts w:ascii="Arial" w:hAnsi="Arial" w:cs="Arial"/>
          <w:color w:val="000000"/>
        </w:rPr>
        <w:t>s</w:t>
      </w:r>
      <w:r w:rsidR="00AD7135" w:rsidRPr="00504456">
        <w:rPr>
          <w:rFonts w:ascii="Arial" w:hAnsi="Arial" w:cs="Arial"/>
          <w:color w:val="000000"/>
        </w:rPr>
        <w:t xml:space="preserve"> of gambling</w:t>
      </w:r>
      <w:r w:rsidR="00F04141" w:rsidRPr="00504456">
        <w:rPr>
          <w:rFonts w:ascii="Arial" w:hAnsi="Arial" w:cs="Arial"/>
          <w:color w:val="000000"/>
        </w:rPr>
        <w:t xml:space="preserve">. </w:t>
      </w:r>
      <w:r w:rsidRPr="00504456">
        <w:rPr>
          <w:rFonts w:ascii="Arial" w:hAnsi="Arial" w:cs="Arial"/>
          <w:color w:val="000000"/>
        </w:rPr>
        <w:t>The report found that in 2008-09:</w:t>
      </w:r>
    </w:p>
    <w:p w:rsidR="00A14868" w:rsidRPr="00504456" w:rsidRDefault="00A14868" w:rsidP="00036CC5">
      <w:pPr>
        <w:numPr>
          <w:ilvl w:val="0"/>
          <w:numId w:val="29"/>
        </w:numPr>
        <w:rPr>
          <w:rFonts w:ascii="Arial" w:hAnsi="Arial" w:cs="Arial"/>
          <w:color w:val="000000"/>
        </w:rPr>
      </w:pPr>
      <w:r w:rsidRPr="00504456">
        <w:rPr>
          <w:rFonts w:ascii="Arial" w:hAnsi="Arial" w:cs="Arial"/>
          <w:color w:val="000000"/>
        </w:rPr>
        <w:t>the benefits from tax revenue and the enjoyment of gambling for recreational gamblers ranged between $</w:t>
      </w:r>
      <w:r w:rsidR="00EE6C84" w:rsidRPr="00504456">
        <w:rPr>
          <w:rFonts w:ascii="Arial" w:hAnsi="Arial" w:cs="Arial"/>
          <w:color w:val="000000"/>
        </w:rPr>
        <w:t>12.1 and $15.8 billion</w:t>
      </w:r>
    </w:p>
    <w:p w:rsidR="00A14868" w:rsidRPr="00504456" w:rsidRDefault="00A14868" w:rsidP="00036CC5">
      <w:pPr>
        <w:numPr>
          <w:ilvl w:val="0"/>
          <w:numId w:val="29"/>
        </w:numPr>
        <w:rPr>
          <w:rFonts w:ascii="Arial" w:hAnsi="Arial" w:cs="Arial"/>
          <w:color w:val="000000"/>
        </w:rPr>
      </w:pPr>
      <w:r w:rsidRPr="00504456">
        <w:rPr>
          <w:rFonts w:ascii="Arial" w:hAnsi="Arial" w:cs="Arial"/>
          <w:color w:val="000000"/>
        </w:rPr>
        <w:t>the costs to problem gamblers</w:t>
      </w:r>
      <w:r w:rsidR="003202CF" w:rsidRPr="00504456">
        <w:rPr>
          <w:rFonts w:ascii="Arial" w:hAnsi="Arial" w:cs="Arial"/>
          <w:color w:val="000000"/>
        </w:rPr>
        <w:t xml:space="preserve"> </w:t>
      </w:r>
      <w:r w:rsidRPr="00504456">
        <w:rPr>
          <w:rFonts w:ascii="Arial" w:hAnsi="Arial" w:cs="Arial"/>
          <w:color w:val="000000"/>
        </w:rPr>
        <w:t>ranged between $4.7 billion and $8.4 billion</w:t>
      </w:r>
    </w:p>
    <w:p w:rsidR="00A14868" w:rsidRPr="00504456" w:rsidRDefault="00A14868" w:rsidP="00036CC5">
      <w:pPr>
        <w:numPr>
          <w:ilvl w:val="0"/>
          <w:numId w:val="29"/>
        </w:numPr>
        <w:rPr>
          <w:rFonts w:ascii="Arial" w:hAnsi="Arial" w:cs="Arial"/>
          <w:color w:val="000000"/>
        </w:rPr>
      </w:pPr>
      <w:proofErr w:type="gramStart"/>
      <w:r w:rsidRPr="00504456">
        <w:rPr>
          <w:rFonts w:ascii="Arial" w:hAnsi="Arial" w:cs="Arial"/>
          <w:color w:val="000000"/>
        </w:rPr>
        <w:t>the</w:t>
      </w:r>
      <w:proofErr w:type="gramEnd"/>
      <w:r w:rsidRPr="00504456">
        <w:rPr>
          <w:rFonts w:ascii="Arial" w:hAnsi="Arial" w:cs="Arial"/>
          <w:color w:val="000000"/>
        </w:rPr>
        <w:t xml:space="preserve"> overall net benefits ranged from $3.7 and $11.1 billion.</w:t>
      </w:r>
    </w:p>
    <w:p w:rsidR="00A14868" w:rsidRPr="00504456" w:rsidRDefault="00A14868" w:rsidP="004200AC">
      <w:pPr>
        <w:rPr>
          <w:rFonts w:ascii="Arial" w:hAnsi="Arial" w:cs="Arial"/>
          <w:color w:val="000000"/>
        </w:rPr>
      </w:pPr>
      <w:r w:rsidRPr="00504456">
        <w:rPr>
          <w:rFonts w:ascii="Arial" w:hAnsi="Arial" w:cs="Arial"/>
          <w:color w:val="000000"/>
        </w:rPr>
        <w:t xml:space="preserve">The report noted that if governments reduced </w:t>
      </w:r>
      <w:r w:rsidR="00F768F4" w:rsidRPr="00504456">
        <w:rPr>
          <w:rFonts w:ascii="Arial" w:hAnsi="Arial" w:cs="Arial"/>
          <w:color w:val="000000"/>
        </w:rPr>
        <w:t xml:space="preserve">the social </w:t>
      </w:r>
      <w:r w:rsidRPr="00504456">
        <w:rPr>
          <w:rFonts w:ascii="Arial" w:hAnsi="Arial" w:cs="Arial"/>
          <w:color w:val="000000"/>
        </w:rPr>
        <w:t xml:space="preserve">costs </w:t>
      </w:r>
      <w:r w:rsidR="003202CF" w:rsidRPr="00504456">
        <w:rPr>
          <w:rFonts w:ascii="Arial" w:hAnsi="Arial" w:cs="Arial"/>
          <w:color w:val="000000"/>
        </w:rPr>
        <w:t xml:space="preserve">to problem gamblers </w:t>
      </w:r>
      <w:r w:rsidRPr="00504456">
        <w:rPr>
          <w:rFonts w:ascii="Arial" w:hAnsi="Arial" w:cs="Arial"/>
          <w:color w:val="000000"/>
        </w:rPr>
        <w:t xml:space="preserve">through effective harm </w:t>
      </w:r>
      <w:proofErr w:type="spellStart"/>
      <w:r w:rsidR="003F3806" w:rsidRPr="00504456">
        <w:rPr>
          <w:rFonts w:ascii="Arial" w:hAnsi="Arial" w:cs="Arial"/>
          <w:color w:val="000000"/>
        </w:rPr>
        <w:t>minimisation</w:t>
      </w:r>
      <w:proofErr w:type="spellEnd"/>
      <w:r w:rsidR="003F3806" w:rsidRPr="00504456">
        <w:rPr>
          <w:rFonts w:ascii="Arial" w:hAnsi="Arial" w:cs="Arial"/>
          <w:color w:val="000000"/>
        </w:rPr>
        <w:t xml:space="preserve"> </w:t>
      </w:r>
      <w:r w:rsidRPr="00504456">
        <w:rPr>
          <w:rFonts w:ascii="Arial" w:hAnsi="Arial" w:cs="Arial"/>
          <w:color w:val="000000"/>
        </w:rPr>
        <w:t>and prevention policies</w:t>
      </w:r>
      <w:r w:rsidR="000F07FC" w:rsidRPr="00504456">
        <w:rPr>
          <w:rFonts w:ascii="Arial" w:hAnsi="Arial" w:cs="Arial"/>
          <w:color w:val="000000"/>
        </w:rPr>
        <w:t>,</w:t>
      </w:r>
      <w:r w:rsidRPr="00504456">
        <w:rPr>
          <w:rFonts w:ascii="Arial" w:hAnsi="Arial" w:cs="Arial"/>
          <w:color w:val="000000"/>
        </w:rPr>
        <w:t xml:space="preserve"> the net benefits could be much larger.</w:t>
      </w:r>
      <w:r w:rsidRPr="00504456">
        <w:rPr>
          <w:rStyle w:val="FootnoteReference"/>
          <w:rFonts w:ascii="Arial" w:hAnsi="Arial" w:cs="Arial"/>
          <w:color w:val="000000"/>
        </w:rPr>
        <w:footnoteReference w:id="6"/>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The Productivity Commission's Gambling Report also recommended a range of strategies to reduce the harms associated with </w:t>
      </w:r>
      <w:proofErr w:type="spellStart"/>
      <w:r w:rsidRPr="00504456">
        <w:rPr>
          <w:rFonts w:ascii="Arial" w:hAnsi="Arial" w:cs="Arial"/>
        </w:rPr>
        <w:t>EGM</w:t>
      </w:r>
      <w:proofErr w:type="spellEnd"/>
      <w:r w:rsidRPr="00504456">
        <w:rPr>
          <w:rFonts w:ascii="Arial" w:hAnsi="Arial" w:cs="Arial"/>
        </w:rPr>
        <w:t xml:space="preserve"> gambling. These included:</w:t>
      </w:r>
    </w:p>
    <w:p w:rsidR="000B345B" w:rsidRPr="00504456" w:rsidRDefault="00A14868" w:rsidP="00036CC5">
      <w:pPr>
        <w:pStyle w:val="BodyText"/>
        <w:numPr>
          <w:ilvl w:val="0"/>
          <w:numId w:val="25"/>
        </w:numPr>
        <w:spacing w:after="0" w:line="240" w:lineRule="auto"/>
        <w:rPr>
          <w:rFonts w:cs="Arial"/>
          <w:sz w:val="24"/>
        </w:rPr>
      </w:pPr>
      <w:proofErr w:type="gramStart"/>
      <w:r w:rsidRPr="00504456">
        <w:rPr>
          <w:rFonts w:cs="Arial"/>
          <w:sz w:val="24"/>
        </w:rPr>
        <w:t>the</w:t>
      </w:r>
      <w:proofErr w:type="gramEnd"/>
      <w:r w:rsidRPr="00504456">
        <w:rPr>
          <w:rFonts w:cs="Arial"/>
          <w:sz w:val="24"/>
        </w:rPr>
        <w:t xml:space="preserve"> introduction of mandatory pre-commitment technology on all </w:t>
      </w:r>
      <w:proofErr w:type="spellStart"/>
      <w:r w:rsidRPr="00504456">
        <w:rPr>
          <w:rFonts w:cs="Arial"/>
          <w:sz w:val="24"/>
        </w:rPr>
        <w:t>EGMs</w:t>
      </w:r>
      <w:proofErr w:type="spellEnd"/>
      <w:r w:rsidRPr="00504456">
        <w:rPr>
          <w:rFonts w:cs="Arial"/>
          <w:sz w:val="24"/>
        </w:rPr>
        <w:t xml:space="preserve"> by 2016, subject to initial development, trialing and compatible monitoring systems.</w:t>
      </w:r>
      <w:r w:rsidRPr="00504456">
        <w:rPr>
          <w:rFonts w:cs="Arial"/>
        </w:rPr>
        <w:t xml:space="preserve"> </w:t>
      </w:r>
      <w:r w:rsidRPr="00504456">
        <w:rPr>
          <w:rFonts w:cs="Arial"/>
          <w:sz w:val="24"/>
        </w:rPr>
        <w:t xml:space="preserve">Pre-commitment involves the ability to set time and money limits in advance of playing </w:t>
      </w:r>
      <w:proofErr w:type="spellStart"/>
      <w:r w:rsidRPr="00504456">
        <w:rPr>
          <w:rFonts w:cs="Arial"/>
          <w:sz w:val="24"/>
        </w:rPr>
        <w:t>EGMs</w:t>
      </w:r>
      <w:proofErr w:type="spellEnd"/>
      <w:r w:rsidRPr="00504456">
        <w:rPr>
          <w:rFonts w:cs="Arial"/>
          <w:sz w:val="24"/>
        </w:rPr>
        <w:t>, thereby assisting gamblers to limit the amount of money or time they spend on gambling.</w:t>
      </w:r>
      <w:r w:rsidRPr="00504456">
        <w:rPr>
          <w:rStyle w:val="FootnoteReference"/>
          <w:rFonts w:cs="Arial"/>
          <w:sz w:val="24"/>
        </w:rPr>
        <w:footnoteReference w:id="7"/>
      </w:r>
    </w:p>
    <w:p w:rsidR="000B345B" w:rsidRPr="00504456" w:rsidRDefault="001A1DCB" w:rsidP="00036CC5">
      <w:pPr>
        <w:numPr>
          <w:ilvl w:val="0"/>
          <w:numId w:val="24"/>
        </w:numPr>
        <w:rPr>
          <w:rFonts w:ascii="Arial" w:hAnsi="Arial" w:cs="Arial"/>
        </w:rPr>
      </w:pPr>
      <w:proofErr w:type="gramStart"/>
      <w:r w:rsidRPr="00504456">
        <w:rPr>
          <w:rFonts w:ascii="Arial" w:hAnsi="Arial" w:cs="Arial"/>
        </w:rPr>
        <w:t>a</w:t>
      </w:r>
      <w:r w:rsidR="00A14868" w:rsidRPr="00504456">
        <w:rPr>
          <w:rFonts w:ascii="Arial" w:hAnsi="Arial" w:cs="Arial"/>
        </w:rPr>
        <w:t>ll</w:t>
      </w:r>
      <w:proofErr w:type="gramEnd"/>
      <w:r w:rsidR="00A14868" w:rsidRPr="00504456">
        <w:rPr>
          <w:rFonts w:ascii="Arial" w:hAnsi="Arial" w:cs="Arial"/>
        </w:rPr>
        <w:t xml:space="preserve"> new </w:t>
      </w:r>
      <w:proofErr w:type="spellStart"/>
      <w:r w:rsidR="00A14868" w:rsidRPr="00504456">
        <w:rPr>
          <w:rFonts w:ascii="Arial" w:hAnsi="Arial" w:cs="Arial"/>
        </w:rPr>
        <w:t>EGMs</w:t>
      </w:r>
      <w:proofErr w:type="spellEnd"/>
      <w:r w:rsidR="00A14868" w:rsidRPr="00504456">
        <w:rPr>
          <w:rFonts w:ascii="Arial" w:hAnsi="Arial" w:cs="Arial"/>
        </w:rPr>
        <w:t xml:space="preserve"> should include the capability of being played at a maximum intensity of $1 per button push by 2012, with this being activated in 2016. </w:t>
      </w:r>
      <w:r w:rsidR="00276AC7" w:rsidRPr="00504456">
        <w:rPr>
          <w:rFonts w:ascii="Arial" w:hAnsi="Arial" w:cs="Arial"/>
        </w:rPr>
        <w:t>Currently i</w:t>
      </w:r>
      <w:r w:rsidR="00A14868" w:rsidRPr="00504456">
        <w:rPr>
          <w:rFonts w:ascii="Arial" w:hAnsi="Arial" w:cs="Arial"/>
        </w:rPr>
        <w:t>n Victoria, the maximum bet is $5.</w:t>
      </w:r>
      <w:r w:rsidR="00A14868" w:rsidRPr="00504456">
        <w:rPr>
          <w:rStyle w:val="FootnoteReference"/>
          <w:rFonts w:ascii="Arial" w:hAnsi="Arial" w:cs="Arial"/>
        </w:rPr>
        <w:footnoteReference w:id="8"/>
      </w:r>
    </w:p>
    <w:p w:rsidR="00423C96" w:rsidRPr="00504456" w:rsidRDefault="00A14868" w:rsidP="00036CC5">
      <w:pPr>
        <w:numPr>
          <w:ilvl w:val="0"/>
          <w:numId w:val="24"/>
        </w:numPr>
        <w:rPr>
          <w:rFonts w:ascii="Arial" w:hAnsi="Arial" w:cs="Arial"/>
        </w:rPr>
      </w:pPr>
      <w:proofErr w:type="gramStart"/>
      <w:r w:rsidRPr="00504456">
        <w:rPr>
          <w:rFonts w:ascii="Arial" w:hAnsi="Arial" w:cs="Arial"/>
        </w:rPr>
        <w:t>introducing</w:t>
      </w:r>
      <w:proofErr w:type="gramEnd"/>
      <w:r w:rsidRPr="00504456">
        <w:rPr>
          <w:rFonts w:ascii="Arial" w:hAnsi="Arial" w:cs="Arial"/>
        </w:rPr>
        <w:t xml:space="preserve"> longer shutdown periods for </w:t>
      </w:r>
      <w:proofErr w:type="spellStart"/>
      <w:r w:rsidRPr="00504456">
        <w:rPr>
          <w:rFonts w:ascii="Arial" w:hAnsi="Arial" w:cs="Arial"/>
        </w:rPr>
        <w:t>EGM</w:t>
      </w:r>
      <w:proofErr w:type="spellEnd"/>
      <w:r w:rsidRPr="00504456">
        <w:rPr>
          <w:rFonts w:ascii="Arial" w:hAnsi="Arial" w:cs="Arial"/>
        </w:rPr>
        <w:t xml:space="preserve"> areas in all hotels and clubs.</w:t>
      </w:r>
      <w:r w:rsidRPr="00504456">
        <w:rPr>
          <w:rStyle w:val="FootnoteReference"/>
          <w:rFonts w:ascii="Arial" w:hAnsi="Arial" w:cs="Arial"/>
        </w:rPr>
        <w:footnoteReference w:id="9"/>
      </w:r>
    </w:p>
    <w:p w:rsidR="00423C96" w:rsidRPr="00504456" w:rsidRDefault="00423C96" w:rsidP="00423C96">
      <w:pPr>
        <w:ind w:left="720"/>
        <w:rPr>
          <w:rFonts w:ascii="Arial" w:hAnsi="Arial" w:cs="Arial"/>
        </w:rPr>
      </w:pPr>
    </w:p>
    <w:p w:rsidR="0086438D" w:rsidRPr="00504456" w:rsidRDefault="00423C96" w:rsidP="0086438D">
      <w:pPr>
        <w:pStyle w:val="Heading3"/>
        <w:rPr>
          <w:sz w:val="24"/>
          <w:szCs w:val="24"/>
        </w:rPr>
      </w:pPr>
      <w:bookmarkStart w:id="9" w:name="_Toc372787024"/>
      <w:r w:rsidRPr="00504456">
        <w:rPr>
          <w:sz w:val="24"/>
          <w:szCs w:val="24"/>
        </w:rPr>
        <w:t>Victorian Competition and Efficiency Commission's Gambling Report</w:t>
      </w:r>
      <w:bookmarkEnd w:id="9"/>
    </w:p>
    <w:p w:rsidR="000B345B" w:rsidRPr="00504456" w:rsidRDefault="000B345B" w:rsidP="000B345B">
      <w:pPr>
        <w:rPr>
          <w:rFonts w:ascii="Arial" w:hAnsi="Arial" w:cs="Arial"/>
          <w:color w:val="000000"/>
        </w:rPr>
      </w:pPr>
      <w:r w:rsidRPr="00504456">
        <w:rPr>
          <w:rFonts w:ascii="Arial" w:hAnsi="Arial" w:cs="Arial"/>
          <w:color w:val="000000"/>
        </w:rPr>
        <w:t>The Victorian Competition and Efficiency Commission's (</w:t>
      </w:r>
      <w:proofErr w:type="spellStart"/>
      <w:r w:rsidRPr="00504456">
        <w:rPr>
          <w:rFonts w:ascii="Arial" w:hAnsi="Arial" w:cs="Arial"/>
          <w:color w:val="000000"/>
        </w:rPr>
        <w:t>VCEC</w:t>
      </w:r>
      <w:proofErr w:type="spellEnd"/>
      <w:r w:rsidRPr="00504456">
        <w:rPr>
          <w:rFonts w:ascii="Arial" w:hAnsi="Arial" w:cs="Arial"/>
          <w:color w:val="000000"/>
        </w:rPr>
        <w:t xml:space="preserve">) final report: </w:t>
      </w:r>
      <w:r w:rsidRPr="00504456">
        <w:rPr>
          <w:rFonts w:ascii="Arial" w:hAnsi="Arial" w:cs="Arial"/>
          <w:i/>
          <w:color w:val="000000"/>
        </w:rPr>
        <w:t>Counting the Cost: Inquiry into the Costs of Problem Gambling</w:t>
      </w:r>
      <w:r w:rsidRPr="00504456">
        <w:rPr>
          <w:rFonts w:ascii="Arial" w:hAnsi="Arial" w:cs="Arial"/>
          <w:color w:val="000000"/>
        </w:rPr>
        <w:t xml:space="preserve"> was released in September 2013. The aim of this inquiry was to </w:t>
      </w:r>
      <w:r w:rsidR="00D56C9A" w:rsidRPr="00504456">
        <w:rPr>
          <w:rFonts w:ascii="Arial" w:hAnsi="Arial" w:cs="Arial"/>
          <w:color w:val="000000"/>
        </w:rPr>
        <w:t>'</w:t>
      </w:r>
      <w:r w:rsidRPr="00504456">
        <w:rPr>
          <w:rFonts w:ascii="Arial" w:hAnsi="Arial" w:cs="Arial"/>
          <w:color w:val="000000"/>
        </w:rPr>
        <w:t>inform policy makers and the community about the true costs of problem gambling and where they fall,</w:t>
      </w:r>
      <w:r w:rsidR="00D56C9A" w:rsidRPr="00504456">
        <w:rPr>
          <w:rFonts w:ascii="Arial" w:hAnsi="Arial" w:cs="Arial"/>
          <w:color w:val="000000"/>
        </w:rPr>
        <w:t>'</w:t>
      </w:r>
      <w:r w:rsidR="00D56C9A" w:rsidRPr="00504456">
        <w:rPr>
          <w:rStyle w:val="FootnoteReference"/>
          <w:rFonts w:ascii="Arial" w:hAnsi="Arial" w:cs="Arial"/>
          <w:color w:val="000000"/>
        </w:rPr>
        <w:footnoteReference w:id="10"/>
      </w:r>
      <w:r w:rsidRPr="00504456">
        <w:rPr>
          <w:rFonts w:ascii="Arial" w:hAnsi="Arial" w:cs="Arial"/>
          <w:color w:val="000000"/>
        </w:rPr>
        <w:t xml:space="preserve"> to make recommendations</w:t>
      </w:r>
      <w:r w:rsidR="00D56C9A" w:rsidRPr="00504456">
        <w:rPr>
          <w:rFonts w:ascii="Arial" w:hAnsi="Arial" w:cs="Arial"/>
          <w:color w:val="000000"/>
        </w:rPr>
        <w:t>, and to provide an evidence base for</w:t>
      </w:r>
      <w:r w:rsidRPr="00504456">
        <w:rPr>
          <w:rFonts w:ascii="Arial" w:hAnsi="Arial" w:cs="Arial"/>
          <w:color w:val="000000"/>
        </w:rPr>
        <w:t xml:space="preserve"> further research and harm </w:t>
      </w:r>
      <w:proofErr w:type="spellStart"/>
      <w:r w:rsidRPr="00504456">
        <w:rPr>
          <w:rFonts w:ascii="Arial" w:hAnsi="Arial" w:cs="Arial"/>
          <w:color w:val="000000"/>
        </w:rPr>
        <w:t>minimisation</w:t>
      </w:r>
      <w:proofErr w:type="spellEnd"/>
      <w:r w:rsidRPr="00504456">
        <w:rPr>
          <w:rFonts w:ascii="Arial" w:hAnsi="Arial" w:cs="Arial"/>
          <w:color w:val="000000"/>
        </w:rPr>
        <w:t xml:space="preserve"> measures</w:t>
      </w:r>
      <w:r w:rsidR="00D56C9A" w:rsidRPr="00504456">
        <w:rPr>
          <w:rFonts w:ascii="Arial" w:hAnsi="Arial" w:cs="Arial"/>
          <w:color w:val="000000"/>
        </w:rPr>
        <w:t xml:space="preserve"> in Victoria</w:t>
      </w:r>
      <w:r w:rsidRPr="00504456">
        <w:rPr>
          <w:rFonts w:ascii="Arial" w:hAnsi="Arial" w:cs="Arial"/>
          <w:color w:val="000000"/>
        </w:rPr>
        <w:t xml:space="preserve">. </w:t>
      </w:r>
    </w:p>
    <w:p w:rsidR="000B345B" w:rsidRPr="00504456" w:rsidRDefault="000B345B" w:rsidP="000B345B">
      <w:pPr>
        <w:rPr>
          <w:rFonts w:ascii="Arial" w:hAnsi="Arial" w:cs="Arial"/>
          <w:color w:val="000000"/>
        </w:rPr>
      </w:pPr>
    </w:p>
    <w:p w:rsidR="000B345B" w:rsidRPr="00504456" w:rsidRDefault="000B345B" w:rsidP="000B345B">
      <w:pPr>
        <w:rPr>
          <w:rFonts w:ascii="Arial" w:hAnsi="Arial" w:cs="Arial"/>
          <w:color w:val="000000"/>
        </w:rPr>
      </w:pPr>
      <w:r w:rsidRPr="00504456">
        <w:rPr>
          <w:rFonts w:ascii="Arial" w:hAnsi="Arial" w:cs="Arial"/>
          <w:color w:val="000000"/>
        </w:rPr>
        <w:t xml:space="preserve">The inquiry found that </w:t>
      </w:r>
      <w:r w:rsidR="002127DB" w:rsidRPr="00504456">
        <w:rPr>
          <w:rFonts w:ascii="Arial" w:hAnsi="Arial" w:cs="Arial"/>
          <w:color w:val="000000"/>
        </w:rPr>
        <w:t>'</w:t>
      </w:r>
      <w:r w:rsidRPr="00504456">
        <w:rPr>
          <w:rFonts w:ascii="Arial" w:hAnsi="Arial" w:cs="Arial"/>
          <w:color w:val="000000"/>
        </w:rPr>
        <w:t>gambling expenditure in Victoria was approximately $5.2 billion in 2010-11 and $5.5 billion in 2011-12.</w:t>
      </w:r>
      <w:r w:rsidR="002127DB" w:rsidRPr="00504456">
        <w:rPr>
          <w:rFonts w:ascii="Arial" w:hAnsi="Arial" w:cs="Arial"/>
          <w:color w:val="000000"/>
        </w:rPr>
        <w:t>'</w:t>
      </w:r>
      <w:r w:rsidR="00D212BD" w:rsidRPr="00504456">
        <w:rPr>
          <w:rStyle w:val="FootnoteReference"/>
          <w:rFonts w:ascii="Arial" w:hAnsi="Arial" w:cs="Arial"/>
          <w:color w:val="000000"/>
        </w:rPr>
        <w:footnoteReference w:id="11"/>
      </w:r>
      <w:proofErr w:type="spellStart"/>
      <w:proofErr w:type="gramStart"/>
      <w:r w:rsidRPr="00504456">
        <w:rPr>
          <w:rFonts w:ascii="Arial" w:hAnsi="Arial" w:cs="Arial"/>
          <w:color w:val="000000"/>
        </w:rPr>
        <w:t>EGM</w:t>
      </w:r>
      <w:proofErr w:type="spellEnd"/>
      <w:r w:rsidR="00C216EB" w:rsidRPr="00504456">
        <w:rPr>
          <w:rFonts w:ascii="Arial" w:hAnsi="Arial" w:cs="Arial"/>
          <w:color w:val="000000"/>
        </w:rPr>
        <w:t xml:space="preserve"> gambling accounts for approximately 50</w:t>
      </w:r>
      <w:r w:rsidR="005739B2" w:rsidRPr="00504456">
        <w:rPr>
          <w:rFonts w:ascii="Arial" w:hAnsi="Arial" w:cs="Arial"/>
          <w:color w:val="000000"/>
        </w:rPr>
        <w:t xml:space="preserve"> per cent</w:t>
      </w:r>
      <w:r w:rsidR="00C216EB" w:rsidRPr="00504456">
        <w:rPr>
          <w:rFonts w:ascii="Arial" w:hAnsi="Arial" w:cs="Arial"/>
          <w:color w:val="000000"/>
        </w:rPr>
        <w:t xml:space="preserve"> of this</w:t>
      </w:r>
      <w:r w:rsidR="00451444" w:rsidRPr="00504456">
        <w:rPr>
          <w:rFonts w:ascii="Arial" w:hAnsi="Arial" w:cs="Arial"/>
          <w:color w:val="000000"/>
        </w:rPr>
        <w:t>,</w:t>
      </w:r>
      <w:r w:rsidR="00C216EB" w:rsidRPr="00504456">
        <w:rPr>
          <w:rFonts w:ascii="Arial" w:hAnsi="Arial" w:cs="Arial"/>
          <w:color w:val="000000"/>
        </w:rPr>
        <w:t xml:space="preserve"> </w:t>
      </w:r>
      <w:r w:rsidR="00F24229" w:rsidRPr="00504456">
        <w:rPr>
          <w:rFonts w:ascii="Arial" w:hAnsi="Arial" w:cs="Arial"/>
          <w:color w:val="000000"/>
        </w:rPr>
        <w:t>while casino</w:t>
      </w:r>
      <w:r w:rsidR="00C216EB" w:rsidRPr="00504456">
        <w:rPr>
          <w:rFonts w:ascii="Arial" w:hAnsi="Arial" w:cs="Arial"/>
          <w:color w:val="000000"/>
        </w:rPr>
        <w:t xml:space="preserve"> gaming accounts for approximately </w:t>
      </w:r>
      <w:r w:rsidRPr="00504456">
        <w:rPr>
          <w:rFonts w:ascii="Arial" w:hAnsi="Arial" w:cs="Arial"/>
          <w:color w:val="000000"/>
        </w:rPr>
        <w:t xml:space="preserve">25 </w:t>
      </w:r>
      <w:r w:rsidR="005739B2" w:rsidRPr="00504456">
        <w:rPr>
          <w:rFonts w:ascii="Arial" w:hAnsi="Arial" w:cs="Arial"/>
          <w:color w:val="000000"/>
        </w:rPr>
        <w:t>per cent</w:t>
      </w:r>
      <w:r w:rsidRPr="00504456">
        <w:rPr>
          <w:rFonts w:ascii="Arial" w:hAnsi="Arial" w:cs="Arial"/>
          <w:color w:val="000000"/>
        </w:rPr>
        <w:t>.</w:t>
      </w:r>
      <w:proofErr w:type="gramEnd"/>
      <w:r w:rsidR="00D212BD" w:rsidRPr="00504456">
        <w:rPr>
          <w:rStyle w:val="FootnoteReference"/>
          <w:rFonts w:ascii="Arial" w:hAnsi="Arial" w:cs="Arial"/>
          <w:color w:val="000000"/>
        </w:rPr>
        <w:footnoteReference w:id="12"/>
      </w:r>
      <w:r w:rsidRPr="00504456">
        <w:rPr>
          <w:rFonts w:ascii="Arial" w:hAnsi="Arial" w:cs="Arial"/>
          <w:color w:val="000000"/>
        </w:rPr>
        <w:t xml:space="preserve"> </w:t>
      </w:r>
      <w:r w:rsidR="00C216EB" w:rsidRPr="00504456">
        <w:rPr>
          <w:rFonts w:ascii="Arial" w:hAnsi="Arial" w:cs="Arial"/>
          <w:color w:val="000000"/>
        </w:rPr>
        <w:t xml:space="preserve">In </w:t>
      </w:r>
      <w:r w:rsidR="00F24229" w:rsidRPr="00504456">
        <w:rPr>
          <w:rFonts w:ascii="Arial" w:hAnsi="Arial" w:cs="Arial"/>
          <w:color w:val="000000"/>
        </w:rPr>
        <w:t>metropolitan regions</w:t>
      </w:r>
      <w:r w:rsidR="00C216EB" w:rsidRPr="00504456">
        <w:rPr>
          <w:rFonts w:ascii="Arial" w:hAnsi="Arial" w:cs="Arial"/>
          <w:color w:val="000000"/>
        </w:rPr>
        <w:t xml:space="preserve"> the </w:t>
      </w:r>
      <w:r w:rsidR="0058175F" w:rsidRPr="00504456">
        <w:rPr>
          <w:rFonts w:ascii="Arial" w:hAnsi="Arial" w:cs="Arial"/>
          <w:color w:val="000000"/>
        </w:rPr>
        <w:t xml:space="preserve">negative </w:t>
      </w:r>
      <w:r w:rsidR="00C216EB" w:rsidRPr="00504456">
        <w:rPr>
          <w:rFonts w:ascii="Arial" w:hAnsi="Arial" w:cs="Arial"/>
          <w:color w:val="000000"/>
        </w:rPr>
        <w:t>social and economic impact</w:t>
      </w:r>
      <w:r w:rsidR="00451444" w:rsidRPr="00504456">
        <w:rPr>
          <w:rFonts w:ascii="Arial" w:hAnsi="Arial" w:cs="Arial"/>
          <w:color w:val="000000"/>
        </w:rPr>
        <w:t>s</w:t>
      </w:r>
      <w:r w:rsidR="00C216EB" w:rsidRPr="00504456">
        <w:rPr>
          <w:rFonts w:ascii="Arial" w:hAnsi="Arial" w:cs="Arial"/>
          <w:color w:val="000000"/>
        </w:rPr>
        <w:t xml:space="preserve"> of </w:t>
      </w:r>
      <w:proofErr w:type="spellStart"/>
      <w:r w:rsidR="00C216EB" w:rsidRPr="00504456">
        <w:rPr>
          <w:rFonts w:ascii="Arial" w:hAnsi="Arial" w:cs="Arial"/>
          <w:color w:val="000000"/>
        </w:rPr>
        <w:t>EGM</w:t>
      </w:r>
      <w:proofErr w:type="spellEnd"/>
      <w:r w:rsidR="00C216EB" w:rsidRPr="00504456">
        <w:rPr>
          <w:rFonts w:ascii="Arial" w:hAnsi="Arial" w:cs="Arial"/>
          <w:color w:val="000000"/>
        </w:rPr>
        <w:t xml:space="preserve"> gambling w</w:t>
      </w:r>
      <w:r w:rsidR="00451444" w:rsidRPr="00504456">
        <w:rPr>
          <w:rFonts w:ascii="Arial" w:hAnsi="Arial" w:cs="Arial"/>
          <w:color w:val="000000"/>
        </w:rPr>
        <w:t>ere</w:t>
      </w:r>
      <w:r w:rsidR="00C216EB" w:rsidRPr="00504456">
        <w:rPr>
          <w:rFonts w:ascii="Arial" w:hAnsi="Arial" w:cs="Arial"/>
          <w:color w:val="000000"/>
        </w:rPr>
        <w:t xml:space="preserve"> </w:t>
      </w:r>
      <w:r w:rsidR="0058175F" w:rsidRPr="00504456">
        <w:rPr>
          <w:rFonts w:ascii="Arial" w:hAnsi="Arial" w:cs="Arial"/>
          <w:color w:val="000000"/>
        </w:rPr>
        <w:t>demonstrated</w:t>
      </w:r>
      <w:r w:rsidR="00C216EB" w:rsidRPr="00504456">
        <w:rPr>
          <w:rFonts w:ascii="Arial" w:hAnsi="Arial" w:cs="Arial"/>
          <w:color w:val="000000"/>
        </w:rPr>
        <w:t xml:space="preserve"> through a correlation between</w:t>
      </w:r>
      <w:r w:rsidR="0058175F" w:rsidRPr="00504456">
        <w:rPr>
          <w:rFonts w:ascii="Arial" w:hAnsi="Arial" w:cs="Arial"/>
          <w:color w:val="000000"/>
        </w:rPr>
        <w:t xml:space="preserve"> the number of </w:t>
      </w:r>
      <w:proofErr w:type="spellStart"/>
      <w:r w:rsidR="0058175F" w:rsidRPr="00504456">
        <w:rPr>
          <w:rFonts w:ascii="Arial" w:hAnsi="Arial" w:cs="Arial"/>
          <w:color w:val="000000"/>
        </w:rPr>
        <w:t>EGMs</w:t>
      </w:r>
      <w:proofErr w:type="spellEnd"/>
      <w:r w:rsidR="0058175F" w:rsidRPr="00504456">
        <w:rPr>
          <w:rFonts w:ascii="Arial" w:hAnsi="Arial" w:cs="Arial"/>
          <w:color w:val="000000"/>
        </w:rPr>
        <w:t>,</w:t>
      </w:r>
      <w:r w:rsidR="00C216EB" w:rsidRPr="00504456">
        <w:rPr>
          <w:rFonts w:ascii="Arial" w:hAnsi="Arial" w:cs="Arial"/>
          <w:color w:val="000000"/>
        </w:rPr>
        <w:t xml:space="preserve"> </w:t>
      </w:r>
      <w:r w:rsidR="00F24229" w:rsidRPr="00504456">
        <w:rPr>
          <w:rFonts w:ascii="Arial" w:hAnsi="Arial" w:cs="Arial"/>
          <w:color w:val="000000"/>
        </w:rPr>
        <w:t>problem gambling prevalence rates</w:t>
      </w:r>
      <w:r w:rsidRPr="00504456">
        <w:rPr>
          <w:rFonts w:ascii="Arial" w:hAnsi="Arial" w:cs="Arial"/>
          <w:color w:val="000000"/>
        </w:rPr>
        <w:t xml:space="preserve">, the level of total </w:t>
      </w:r>
      <w:r w:rsidR="00F24229" w:rsidRPr="00504456">
        <w:rPr>
          <w:rFonts w:ascii="Arial" w:hAnsi="Arial" w:cs="Arial"/>
          <w:color w:val="000000"/>
        </w:rPr>
        <w:t xml:space="preserve">gambling </w:t>
      </w:r>
      <w:r w:rsidRPr="00504456">
        <w:rPr>
          <w:rFonts w:ascii="Arial" w:hAnsi="Arial" w:cs="Arial"/>
          <w:color w:val="000000"/>
        </w:rPr>
        <w:t>expenditure</w:t>
      </w:r>
      <w:r w:rsidR="005739B2" w:rsidRPr="00504456">
        <w:rPr>
          <w:rFonts w:ascii="Arial" w:hAnsi="Arial" w:cs="Arial"/>
          <w:color w:val="000000"/>
        </w:rPr>
        <w:t>, and</w:t>
      </w:r>
      <w:r w:rsidR="00F24229" w:rsidRPr="00504456">
        <w:rPr>
          <w:rFonts w:ascii="Arial" w:hAnsi="Arial" w:cs="Arial"/>
          <w:color w:val="000000"/>
        </w:rPr>
        <w:t xml:space="preserve"> the level of</w:t>
      </w:r>
      <w:r w:rsidRPr="00504456">
        <w:rPr>
          <w:rFonts w:ascii="Arial" w:hAnsi="Arial" w:cs="Arial"/>
          <w:color w:val="000000"/>
        </w:rPr>
        <w:t xml:space="preserve"> socioeconomic disadvantage</w:t>
      </w:r>
      <w:r w:rsidR="00F24229" w:rsidRPr="00504456">
        <w:rPr>
          <w:rFonts w:ascii="Arial" w:hAnsi="Arial" w:cs="Arial"/>
          <w:color w:val="000000"/>
        </w:rPr>
        <w:t>.</w:t>
      </w:r>
      <w:r w:rsidR="0042238E" w:rsidRPr="00504456">
        <w:rPr>
          <w:rStyle w:val="FootnoteReference"/>
          <w:rFonts w:ascii="Arial" w:hAnsi="Arial" w:cs="Arial"/>
          <w:color w:val="000000"/>
        </w:rPr>
        <w:footnoteReference w:id="13"/>
      </w:r>
      <w:r w:rsidRPr="00504456">
        <w:rPr>
          <w:rFonts w:ascii="Arial" w:hAnsi="Arial" w:cs="Arial"/>
          <w:color w:val="000000"/>
        </w:rPr>
        <w:t xml:space="preserve"> </w:t>
      </w:r>
    </w:p>
    <w:p w:rsidR="000B345B" w:rsidRPr="00504456" w:rsidRDefault="000B345B" w:rsidP="000B345B">
      <w:pPr>
        <w:rPr>
          <w:rFonts w:ascii="Arial" w:hAnsi="Arial" w:cs="Arial"/>
          <w:color w:val="000000"/>
        </w:rPr>
      </w:pPr>
      <w:r w:rsidRPr="00504456">
        <w:rPr>
          <w:rFonts w:ascii="Arial" w:hAnsi="Arial" w:cs="Arial"/>
          <w:color w:val="000000"/>
        </w:rPr>
        <w:tab/>
      </w:r>
    </w:p>
    <w:p w:rsidR="000B345B" w:rsidRPr="00504456" w:rsidRDefault="001A5A76" w:rsidP="000B345B">
      <w:pPr>
        <w:rPr>
          <w:rFonts w:ascii="Arial" w:hAnsi="Arial" w:cs="Arial"/>
          <w:color w:val="000000"/>
        </w:rPr>
      </w:pPr>
      <w:r w:rsidRPr="00504456">
        <w:rPr>
          <w:rFonts w:ascii="Arial" w:hAnsi="Arial" w:cs="Arial"/>
          <w:color w:val="000000"/>
        </w:rPr>
        <w:t>The inquiry di</w:t>
      </w:r>
      <w:r w:rsidR="00FA67E4" w:rsidRPr="00504456">
        <w:rPr>
          <w:rFonts w:ascii="Arial" w:hAnsi="Arial" w:cs="Arial"/>
          <w:color w:val="000000"/>
        </w:rPr>
        <w:t>d not include primary research (</w:t>
      </w:r>
      <w:r w:rsidRPr="00504456">
        <w:rPr>
          <w:rFonts w:ascii="Arial" w:hAnsi="Arial" w:cs="Arial"/>
          <w:color w:val="000000"/>
        </w:rPr>
        <w:t>such as surv</w:t>
      </w:r>
      <w:r w:rsidR="00FA67E4" w:rsidRPr="00504456">
        <w:rPr>
          <w:rFonts w:ascii="Arial" w:hAnsi="Arial" w:cs="Arial"/>
          <w:color w:val="000000"/>
        </w:rPr>
        <w:t>eys of the Victorian population)</w:t>
      </w:r>
      <w:r w:rsidRPr="00504456">
        <w:rPr>
          <w:rFonts w:ascii="Arial" w:hAnsi="Arial" w:cs="Arial"/>
          <w:color w:val="000000"/>
        </w:rPr>
        <w:t xml:space="preserve"> but dr</w:t>
      </w:r>
      <w:r w:rsidR="00451444" w:rsidRPr="00504456">
        <w:rPr>
          <w:rFonts w:ascii="Arial" w:hAnsi="Arial" w:cs="Arial"/>
          <w:color w:val="000000"/>
        </w:rPr>
        <w:t>ew</w:t>
      </w:r>
      <w:r w:rsidRPr="00504456">
        <w:rPr>
          <w:rFonts w:ascii="Arial" w:hAnsi="Arial" w:cs="Arial"/>
          <w:color w:val="000000"/>
        </w:rPr>
        <w:t xml:space="preserve"> on the findings of other Victorian research into the costs of problem gambling</w:t>
      </w:r>
      <w:r w:rsidR="00EA3092" w:rsidRPr="00504456">
        <w:rPr>
          <w:rFonts w:ascii="Arial" w:hAnsi="Arial" w:cs="Arial"/>
          <w:color w:val="000000"/>
        </w:rPr>
        <w:t>,</w:t>
      </w:r>
      <w:r w:rsidRPr="00504456">
        <w:rPr>
          <w:rFonts w:ascii="Arial" w:hAnsi="Arial" w:cs="Arial"/>
          <w:color w:val="000000"/>
        </w:rPr>
        <w:t xml:space="preserve"> </w:t>
      </w:r>
      <w:r w:rsidRPr="00504456">
        <w:rPr>
          <w:rFonts w:ascii="Arial" w:hAnsi="Arial" w:cs="Arial"/>
          <w:color w:val="000000"/>
        </w:rPr>
        <w:lastRenderedPageBreak/>
        <w:t xml:space="preserve">including both published and unpublished datasets. Working from secondary sources, the </w:t>
      </w:r>
      <w:proofErr w:type="spellStart"/>
      <w:r w:rsidR="00451444" w:rsidRPr="00504456">
        <w:rPr>
          <w:rFonts w:ascii="Arial" w:hAnsi="Arial" w:cs="Arial"/>
          <w:color w:val="000000"/>
        </w:rPr>
        <w:t>VCEC</w:t>
      </w:r>
      <w:proofErr w:type="spellEnd"/>
      <w:r w:rsidR="00451444" w:rsidRPr="00504456">
        <w:rPr>
          <w:rFonts w:ascii="Arial" w:hAnsi="Arial" w:cs="Arial"/>
          <w:color w:val="000000"/>
        </w:rPr>
        <w:t xml:space="preserve"> encountered</w:t>
      </w:r>
      <w:r w:rsidR="000B345B" w:rsidRPr="00504456">
        <w:rPr>
          <w:rFonts w:ascii="Arial" w:hAnsi="Arial" w:cs="Arial"/>
          <w:color w:val="000000"/>
        </w:rPr>
        <w:t xml:space="preserve"> obstacles </w:t>
      </w:r>
      <w:r w:rsidR="0096251C" w:rsidRPr="00504456">
        <w:rPr>
          <w:rFonts w:ascii="Arial" w:hAnsi="Arial" w:cs="Arial"/>
          <w:color w:val="000000"/>
        </w:rPr>
        <w:t>in</w:t>
      </w:r>
      <w:r w:rsidR="000B345B" w:rsidRPr="00504456">
        <w:rPr>
          <w:rFonts w:ascii="Arial" w:hAnsi="Arial" w:cs="Arial"/>
          <w:color w:val="000000"/>
        </w:rPr>
        <w:t xml:space="preserve"> quantifying the true social and economic costs of problem gambling including significant data gaps, methodological issues and a lack of consistency among existing data sources. </w:t>
      </w:r>
      <w:r w:rsidR="00451444" w:rsidRPr="00504456">
        <w:rPr>
          <w:rFonts w:ascii="Arial" w:hAnsi="Arial" w:cs="Arial"/>
          <w:color w:val="000000"/>
        </w:rPr>
        <w:t>Many of the costs (such as long-</w:t>
      </w:r>
      <w:r w:rsidR="000B345B" w:rsidRPr="00504456">
        <w:rPr>
          <w:rFonts w:ascii="Arial" w:hAnsi="Arial" w:cs="Arial"/>
          <w:color w:val="000000"/>
        </w:rPr>
        <w:t xml:space="preserve">term impacts on family members) </w:t>
      </w:r>
      <w:r w:rsidR="00954FCC" w:rsidRPr="00504456">
        <w:rPr>
          <w:rFonts w:ascii="Arial" w:hAnsi="Arial" w:cs="Arial"/>
          <w:color w:val="000000"/>
        </w:rPr>
        <w:t xml:space="preserve">are intangible and difficult to place a </w:t>
      </w:r>
      <w:r w:rsidR="000B345B" w:rsidRPr="00504456">
        <w:rPr>
          <w:rFonts w:ascii="Arial" w:hAnsi="Arial" w:cs="Arial"/>
          <w:color w:val="000000"/>
        </w:rPr>
        <w:t>value</w:t>
      </w:r>
      <w:r w:rsidR="00954FCC" w:rsidRPr="00504456">
        <w:rPr>
          <w:rFonts w:ascii="Arial" w:hAnsi="Arial" w:cs="Arial"/>
          <w:color w:val="000000"/>
        </w:rPr>
        <w:t xml:space="preserve"> on</w:t>
      </w:r>
      <w:r w:rsidR="000B345B" w:rsidRPr="00504456">
        <w:rPr>
          <w:rFonts w:ascii="Arial" w:hAnsi="Arial" w:cs="Arial"/>
          <w:color w:val="000000"/>
        </w:rPr>
        <w:t xml:space="preserve">. </w:t>
      </w:r>
      <w:r w:rsidR="005739B2" w:rsidRPr="00504456">
        <w:rPr>
          <w:rFonts w:ascii="Arial" w:hAnsi="Arial" w:cs="Arial"/>
          <w:color w:val="000000"/>
        </w:rPr>
        <w:t>Furthermore, p</w:t>
      </w:r>
      <w:r w:rsidR="000B345B" w:rsidRPr="00504456">
        <w:rPr>
          <w:rFonts w:ascii="Arial" w:hAnsi="Arial" w:cs="Arial"/>
          <w:color w:val="000000"/>
        </w:rPr>
        <w:t>roblem gambling is often closely associated with other mental and physical</w:t>
      </w:r>
      <w:r w:rsidR="00954FCC" w:rsidRPr="00504456">
        <w:rPr>
          <w:rFonts w:ascii="Arial" w:hAnsi="Arial" w:cs="Arial"/>
          <w:color w:val="000000"/>
        </w:rPr>
        <w:t xml:space="preserve"> health</w:t>
      </w:r>
      <w:r w:rsidR="000B345B" w:rsidRPr="00504456">
        <w:rPr>
          <w:rFonts w:ascii="Arial" w:hAnsi="Arial" w:cs="Arial"/>
          <w:color w:val="000000"/>
        </w:rPr>
        <w:t xml:space="preserve"> issues, raising the question of causality.</w:t>
      </w:r>
      <w:r w:rsidR="0042238E" w:rsidRPr="00504456">
        <w:rPr>
          <w:rStyle w:val="FootnoteReference"/>
          <w:rFonts w:ascii="Arial" w:hAnsi="Arial" w:cs="Arial"/>
          <w:color w:val="000000"/>
        </w:rPr>
        <w:footnoteReference w:id="14"/>
      </w:r>
      <w:r w:rsidR="000B345B" w:rsidRPr="00504456">
        <w:rPr>
          <w:rFonts w:ascii="Arial" w:hAnsi="Arial" w:cs="Arial"/>
          <w:color w:val="000000"/>
        </w:rPr>
        <w:t xml:space="preserve"> </w:t>
      </w:r>
    </w:p>
    <w:p w:rsidR="000B345B" w:rsidRPr="00504456" w:rsidRDefault="000B345B" w:rsidP="000B345B">
      <w:pPr>
        <w:rPr>
          <w:rFonts w:ascii="Arial" w:hAnsi="Arial" w:cs="Arial"/>
          <w:color w:val="000000"/>
        </w:rPr>
      </w:pPr>
    </w:p>
    <w:p w:rsidR="000B345B" w:rsidRPr="00504456" w:rsidRDefault="000B345B" w:rsidP="000B345B">
      <w:pPr>
        <w:rPr>
          <w:rFonts w:ascii="Arial" w:hAnsi="Arial" w:cs="Arial"/>
          <w:color w:val="000000"/>
        </w:rPr>
      </w:pPr>
      <w:r w:rsidRPr="00504456">
        <w:rPr>
          <w:rFonts w:ascii="Arial" w:hAnsi="Arial" w:cs="Arial"/>
          <w:color w:val="000000"/>
        </w:rPr>
        <w:t xml:space="preserve">Taking into account these obstacles, the </w:t>
      </w:r>
      <w:proofErr w:type="spellStart"/>
      <w:r w:rsidRPr="00504456">
        <w:rPr>
          <w:rFonts w:ascii="Arial" w:hAnsi="Arial" w:cs="Arial"/>
          <w:color w:val="000000"/>
        </w:rPr>
        <w:t>VCEC</w:t>
      </w:r>
      <w:proofErr w:type="spellEnd"/>
      <w:r w:rsidRPr="00504456">
        <w:rPr>
          <w:rFonts w:ascii="Arial" w:hAnsi="Arial" w:cs="Arial"/>
          <w:color w:val="000000"/>
        </w:rPr>
        <w:t xml:space="preserve"> estimate</w:t>
      </w:r>
      <w:r w:rsidR="00801F85" w:rsidRPr="00504456">
        <w:rPr>
          <w:rFonts w:ascii="Arial" w:hAnsi="Arial" w:cs="Arial"/>
          <w:color w:val="000000"/>
        </w:rPr>
        <w:t xml:space="preserve">d </w:t>
      </w:r>
      <w:r w:rsidR="002D5566" w:rsidRPr="00504456">
        <w:rPr>
          <w:rFonts w:ascii="Arial" w:hAnsi="Arial" w:cs="Arial"/>
          <w:color w:val="000000"/>
        </w:rPr>
        <w:t>that the</w:t>
      </w:r>
      <w:r w:rsidR="00801F85" w:rsidRPr="00504456">
        <w:rPr>
          <w:rFonts w:ascii="Arial" w:hAnsi="Arial" w:cs="Arial"/>
          <w:color w:val="000000"/>
        </w:rPr>
        <w:t xml:space="preserve"> social and economic costs of problem gambling in Victoria </w:t>
      </w:r>
      <w:r w:rsidR="002D5566" w:rsidRPr="00504456">
        <w:rPr>
          <w:rFonts w:ascii="Arial" w:hAnsi="Arial" w:cs="Arial"/>
          <w:color w:val="000000"/>
        </w:rPr>
        <w:t>ranged</w:t>
      </w:r>
      <w:r w:rsidR="00801F85" w:rsidRPr="00504456">
        <w:rPr>
          <w:rFonts w:ascii="Arial" w:hAnsi="Arial" w:cs="Arial"/>
          <w:color w:val="000000"/>
        </w:rPr>
        <w:t xml:space="preserve"> </w:t>
      </w:r>
      <w:r w:rsidRPr="00504456">
        <w:rPr>
          <w:rFonts w:ascii="Arial" w:hAnsi="Arial" w:cs="Arial"/>
          <w:color w:val="000000"/>
        </w:rPr>
        <w:t>between $1.5 billion and $2.8 billion in 2010-11</w:t>
      </w:r>
      <w:r w:rsidR="00801F85" w:rsidRPr="00504456">
        <w:rPr>
          <w:rFonts w:ascii="Arial" w:hAnsi="Arial" w:cs="Arial"/>
          <w:color w:val="000000"/>
        </w:rPr>
        <w:t xml:space="preserve">. The </w:t>
      </w:r>
      <w:r w:rsidRPr="00504456">
        <w:rPr>
          <w:rFonts w:ascii="Arial" w:hAnsi="Arial" w:cs="Arial"/>
          <w:color w:val="000000"/>
        </w:rPr>
        <w:t xml:space="preserve">social costs </w:t>
      </w:r>
      <w:r w:rsidR="0058175F" w:rsidRPr="00504456">
        <w:rPr>
          <w:rFonts w:ascii="Arial" w:hAnsi="Arial" w:cs="Arial"/>
          <w:color w:val="000000"/>
        </w:rPr>
        <w:t>were</w:t>
      </w:r>
      <w:r w:rsidRPr="00504456">
        <w:rPr>
          <w:rFonts w:ascii="Arial" w:hAnsi="Arial" w:cs="Arial"/>
          <w:color w:val="000000"/>
        </w:rPr>
        <w:t xml:space="preserve"> estimated </w:t>
      </w:r>
      <w:r w:rsidR="002D5566" w:rsidRPr="00504456">
        <w:rPr>
          <w:rFonts w:ascii="Arial" w:hAnsi="Arial" w:cs="Arial"/>
          <w:color w:val="000000"/>
        </w:rPr>
        <w:t>to be</w:t>
      </w:r>
      <w:r w:rsidRPr="00504456">
        <w:rPr>
          <w:rFonts w:ascii="Arial" w:hAnsi="Arial" w:cs="Arial"/>
          <w:color w:val="000000"/>
        </w:rPr>
        <w:t xml:space="preserve"> between $400 million and $1.2 b</w:t>
      </w:r>
      <w:r w:rsidR="0058175F" w:rsidRPr="00504456">
        <w:rPr>
          <w:rFonts w:ascii="Arial" w:hAnsi="Arial" w:cs="Arial"/>
          <w:color w:val="000000"/>
        </w:rPr>
        <w:t xml:space="preserve">illion </w:t>
      </w:r>
      <w:r w:rsidRPr="00504456">
        <w:rPr>
          <w:rFonts w:ascii="Arial" w:hAnsi="Arial" w:cs="Arial"/>
          <w:color w:val="000000"/>
        </w:rPr>
        <w:t xml:space="preserve">and economic </w:t>
      </w:r>
      <w:r w:rsidR="0058175F" w:rsidRPr="00504456">
        <w:rPr>
          <w:rFonts w:ascii="Arial" w:hAnsi="Arial" w:cs="Arial"/>
          <w:color w:val="000000"/>
        </w:rPr>
        <w:t>costs</w:t>
      </w:r>
      <w:r w:rsidRPr="00504456">
        <w:rPr>
          <w:rFonts w:ascii="Arial" w:hAnsi="Arial" w:cs="Arial"/>
          <w:color w:val="000000"/>
        </w:rPr>
        <w:t xml:space="preserve"> between $1.1 billion and $1.6 billion.</w:t>
      </w:r>
      <w:r w:rsidR="0042238E" w:rsidRPr="00504456">
        <w:rPr>
          <w:rStyle w:val="FootnoteReference"/>
          <w:rFonts w:ascii="Arial" w:hAnsi="Arial" w:cs="Arial"/>
          <w:color w:val="000000"/>
        </w:rPr>
        <w:footnoteReference w:id="15"/>
      </w:r>
    </w:p>
    <w:p w:rsidR="000B345B" w:rsidRPr="00504456" w:rsidRDefault="000B345B" w:rsidP="000B345B">
      <w:pPr>
        <w:rPr>
          <w:rFonts w:ascii="Arial" w:hAnsi="Arial" w:cs="Arial"/>
          <w:color w:val="000000"/>
        </w:rPr>
      </w:pPr>
    </w:p>
    <w:p w:rsidR="000B345B" w:rsidRPr="00504456" w:rsidRDefault="000B345B" w:rsidP="000B345B">
      <w:pPr>
        <w:rPr>
          <w:rFonts w:ascii="Arial" w:hAnsi="Arial" w:cs="Arial"/>
          <w:color w:val="000000"/>
        </w:rPr>
      </w:pPr>
      <w:r w:rsidRPr="00504456">
        <w:rPr>
          <w:rFonts w:ascii="Arial" w:hAnsi="Arial" w:cs="Arial"/>
          <w:color w:val="000000"/>
        </w:rPr>
        <w:t xml:space="preserve">The </w:t>
      </w:r>
      <w:r w:rsidR="0058175F" w:rsidRPr="00504456">
        <w:rPr>
          <w:rFonts w:ascii="Arial" w:hAnsi="Arial" w:cs="Arial"/>
          <w:color w:val="000000"/>
        </w:rPr>
        <w:t xml:space="preserve">inquiry </w:t>
      </w:r>
      <w:r w:rsidR="00451444" w:rsidRPr="00504456">
        <w:rPr>
          <w:rFonts w:ascii="Arial" w:hAnsi="Arial" w:cs="Arial"/>
          <w:color w:val="000000"/>
        </w:rPr>
        <w:t>found</w:t>
      </w:r>
      <w:r w:rsidR="0058175F" w:rsidRPr="00504456">
        <w:rPr>
          <w:rFonts w:ascii="Arial" w:hAnsi="Arial" w:cs="Arial"/>
          <w:color w:val="000000"/>
        </w:rPr>
        <w:t xml:space="preserve"> that the </w:t>
      </w:r>
      <w:r w:rsidRPr="00504456">
        <w:rPr>
          <w:rFonts w:ascii="Arial" w:hAnsi="Arial" w:cs="Arial"/>
          <w:color w:val="000000"/>
        </w:rPr>
        <w:t xml:space="preserve">vast majority of the quantifiable </w:t>
      </w:r>
      <w:r w:rsidR="001A5A76" w:rsidRPr="00504456">
        <w:rPr>
          <w:rFonts w:ascii="Arial" w:hAnsi="Arial" w:cs="Arial"/>
          <w:color w:val="000000"/>
        </w:rPr>
        <w:t xml:space="preserve">costs of problem gambling in Victoria are </w:t>
      </w:r>
      <w:r w:rsidR="00801F85" w:rsidRPr="00504456">
        <w:rPr>
          <w:rFonts w:ascii="Arial" w:hAnsi="Arial" w:cs="Arial"/>
          <w:color w:val="000000"/>
        </w:rPr>
        <w:t>born by problem gamblers and their families.</w:t>
      </w:r>
      <w:r w:rsidR="00DC3D02" w:rsidRPr="00504456">
        <w:rPr>
          <w:rStyle w:val="FootnoteReference"/>
          <w:rFonts w:ascii="Arial" w:hAnsi="Arial" w:cs="Arial"/>
          <w:color w:val="000000"/>
        </w:rPr>
        <w:footnoteReference w:id="16"/>
      </w:r>
      <w:r w:rsidRPr="00504456">
        <w:rPr>
          <w:rFonts w:ascii="Arial" w:hAnsi="Arial" w:cs="Arial"/>
          <w:color w:val="000000"/>
        </w:rPr>
        <w:t xml:space="preserve"> </w:t>
      </w:r>
      <w:r w:rsidR="005E095A" w:rsidRPr="00504456">
        <w:rPr>
          <w:rFonts w:ascii="Arial" w:hAnsi="Arial" w:cs="Arial"/>
          <w:color w:val="000000"/>
        </w:rPr>
        <w:t>A</w:t>
      </w:r>
      <w:r w:rsidR="00346833" w:rsidRPr="00504456">
        <w:rPr>
          <w:rFonts w:ascii="Arial" w:hAnsi="Arial" w:cs="Arial"/>
          <w:color w:val="000000"/>
        </w:rPr>
        <w:t xml:space="preserve">round </w:t>
      </w:r>
      <w:r w:rsidRPr="00504456">
        <w:rPr>
          <w:rFonts w:ascii="Arial" w:hAnsi="Arial" w:cs="Arial"/>
          <w:color w:val="000000"/>
        </w:rPr>
        <w:t>30 000 problem gamblers and their families</w:t>
      </w:r>
      <w:r w:rsidR="003F6C56" w:rsidRPr="00504456">
        <w:rPr>
          <w:rFonts w:ascii="Arial" w:hAnsi="Arial" w:cs="Arial"/>
          <w:color w:val="000000"/>
        </w:rPr>
        <w:t xml:space="preserve"> </w:t>
      </w:r>
      <w:r w:rsidR="00EA3092" w:rsidRPr="00504456">
        <w:rPr>
          <w:rFonts w:ascii="Arial" w:hAnsi="Arial" w:cs="Arial"/>
          <w:color w:val="000000"/>
        </w:rPr>
        <w:t>bear approximately</w:t>
      </w:r>
      <w:r w:rsidR="003F6C56" w:rsidRPr="00504456">
        <w:rPr>
          <w:rFonts w:ascii="Arial" w:hAnsi="Arial" w:cs="Arial"/>
          <w:color w:val="000000"/>
        </w:rPr>
        <w:t xml:space="preserve"> 93</w:t>
      </w:r>
      <w:r w:rsidR="002D5566" w:rsidRPr="00504456">
        <w:rPr>
          <w:rFonts w:ascii="Arial" w:hAnsi="Arial" w:cs="Arial"/>
          <w:color w:val="000000"/>
        </w:rPr>
        <w:t xml:space="preserve"> per cent</w:t>
      </w:r>
      <w:r w:rsidR="003F6C56" w:rsidRPr="00504456">
        <w:rPr>
          <w:rFonts w:ascii="Arial" w:hAnsi="Arial" w:cs="Arial"/>
          <w:color w:val="000000"/>
        </w:rPr>
        <w:t xml:space="preserve"> </w:t>
      </w:r>
      <w:r w:rsidR="00801F85" w:rsidRPr="00504456">
        <w:rPr>
          <w:rFonts w:ascii="Arial" w:hAnsi="Arial" w:cs="Arial"/>
          <w:color w:val="000000"/>
        </w:rPr>
        <w:t>of the total costs of problem gambling in Victoria, with the remaining costs being</w:t>
      </w:r>
      <w:r w:rsidR="003F6C56" w:rsidRPr="00504456">
        <w:rPr>
          <w:rFonts w:ascii="Arial" w:hAnsi="Arial" w:cs="Arial"/>
          <w:color w:val="000000"/>
        </w:rPr>
        <w:t xml:space="preserve"> distributed between </w:t>
      </w:r>
      <w:r w:rsidR="008B6A61" w:rsidRPr="00504456">
        <w:rPr>
          <w:rFonts w:ascii="Arial" w:hAnsi="Arial" w:cs="Arial"/>
          <w:color w:val="000000"/>
        </w:rPr>
        <w:t xml:space="preserve">the Victorian Government, </w:t>
      </w:r>
      <w:r w:rsidR="00451444" w:rsidRPr="00504456">
        <w:rPr>
          <w:rFonts w:ascii="Arial" w:hAnsi="Arial" w:cs="Arial"/>
          <w:color w:val="000000"/>
        </w:rPr>
        <w:t>Australian</w:t>
      </w:r>
      <w:r w:rsidR="008B6A61" w:rsidRPr="00504456">
        <w:rPr>
          <w:rFonts w:ascii="Arial" w:hAnsi="Arial" w:cs="Arial"/>
          <w:color w:val="000000"/>
        </w:rPr>
        <w:t xml:space="preserve"> Government, local governments, not-for-profit </w:t>
      </w:r>
      <w:proofErr w:type="spellStart"/>
      <w:r w:rsidR="008B6A61" w:rsidRPr="00504456">
        <w:rPr>
          <w:rFonts w:ascii="Arial" w:hAnsi="Arial" w:cs="Arial"/>
          <w:color w:val="000000"/>
        </w:rPr>
        <w:t>organisations</w:t>
      </w:r>
      <w:proofErr w:type="spellEnd"/>
      <w:r w:rsidR="008B6A61" w:rsidRPr="00504456">
        <w:rPr>
          <w:rFonts w:ascii="Arial" w:hAnsi="Arial" w:cs="Arial"/>
          <w:color w:val="000000"/>
        </w:rPr>
        <w:t xml:space="preserve"> and individuals</w:t>
      </w:r>
      <w:r w:rsidR="003F6C56" w:rsidRPr="00504456">
        <w:rPr>
          <w:sz w:val="20"/>
          <w:szCs w:val="20"/>
        </w:rPr>
        <w:t>.</w:t>
      </w:r>
      <w:r w:rsidR="003F6C56" w:rsidRPr="00504456">
        <w:rPr>
          <w:rStyle w:val="FootnoteReference"/>
          <w:sz w:val="20"/>
          <w:szCs w:val="20"/>
        </w:rPr>
        <w:footnoteReference w:id="17"/>
      </w:r>
      <w:r w:rsidRPr="00504456">
        <w:rPr>
          <w:rFonts w:ascii="Arial" w:hAnsi="Arial" w:cs="Arial"/>
          <w:color w:val="000000"/>
        </w:rPr>
        <w:t xml:space="preserve"> </w:t>
      </w:r>
    </w:p>
    <w:p w:rsidR="000B345B" w:rsidRPr="00504456" w:rsidRDefault="000B345B" w:rsidP="000B345B">
      <w:pPr>
        <w:rPr>
          <w:rFonts w:ascii="Arial" w:hAnsi="Arial" w:cs="Arial"/>
          <w:color w:val="000000"/>
        </w:rPr>
      </w:pPr>
    </w:p>
    <w:p w:rsidR="000B345B" w:rsidRPr="00504456" w:rsidRDefault="00346833" w:rsidP="000B345B">
      <w:pPr>
        <w:rPr>
          <w:rFonts w:ascii="Arial" w:hAnsi="Arial" w:cs="Arial"/>
          <w:color w:val="000000"/>
        </w:rPr>
      </w:pPr>
      <w:r w:rsidRPr="00504456">
        <w:rPr>
          <w:rFonts w:ascii="Arial" w:hAnsi="Arial" w:cs="Arial"/>
          <w:color w:val="000000"/>
        </w:rPr>
        <w:t>The d</w:t>
      </w:r>
      <w:r w:rsidR="000B345B" w:rsidRPr="00504456">
        <w:rPr>
          <w:rFonts w:ascii="Arial" w:hAnsi="Arial" w:cs="Arial"/>
          <w:color w:val="000000"/>
        </w:rPr>
        <w:t>irect and indirect costs to the Victorian Government</w:t>
      </w:r>
      <w:r w:rsidRPr="00504456">
        <w:rPr>
          <w:rFonts w:ascii="Arial" w:hAnsi="Arial" w:cs="Arial"/>
          <w:color w:val="000000"/>
        </w:rPr>
        <w:t xml:space="preserve"> were estimated to be between $74 million and $147 million in 2010-11</w:t>
      </w:r>
      <w:r w:rsidR="00EA3092" w:rsidRPr="00504456">
        <w:rPr>
          <w:rFonts w:ascii="Arial" w:hAnsi="Arial" w:cs="Arial"/>
          <w:color w:val="000000"/>
        </w:rPr>
        <w:t>, which is a significant cost</w:t>
      </w:r>
      <w:r w:rsidRPr="00504456">
        <w:rPr>
          <w:rFonts w:ascii="Arial" w:hAnsi="Arial" w:cs="Arial"/>
          <w:color w:val="000000"/>
        </w:rPr>
        <w:t>. This</w:t>
      </w:r>
      <w:r w:rsidR="000B345B" w:rsidRPr="00504456">
        <w:rPr>
          <w:rFonts w:ascii="Arial" w:hAnsi="Arial" w:cs="Arial"/>
          <w:color w:val="000000"/>
        </w:rPr>
        <w:t xml:space="preserve"> </w:t>
      </w:r>
      <w:r w:rsidRPr="00504456">
        <w:rPr>
          <w:rFonts w:ascii="Arial" w:hAnsi="Arial" w:cs="Arial"/>
          <w:color w:val="000000"/>
        </w:rPr>
        <w:t xml:space="preserve">includes </w:t>
      </w:r>
      <w:r w:rsidR="00451444" w:rsidRPr="00504456">
        <w:rPr>
          <w:rFonts w:ascii="Arial" w:hAnsi="Arial" w:cs="Arial"/>
          <w:color w:val="000000"/>
        </w:rPr>
        <w:t>the cost</w:t>
      </w:r>
      <w:r w:rsidR="000B345B" w:rsidRPr="00504456">
        <w:rPr>
          <w:rFonts w:ascii="Arial" w:hAnsi="Arial" w:cs="Arial"/>
          <w:color w:val="000000"/>
        </w:rPr>
        <w:t xml:space="preserve"> of treatment services and</w:t>
      </w:r>
      <w:r w:rsidR="00451444" w:rsidRPr="00504456">
        <w:rPr>
          <w:rFonts w:ascii="Arial" w:hAnsi="Arial" w:cs="Arial"/>
          <w:color w:val="000000"/>
        </w:rPr>
        <w:t xml:space="preserve"> the</w:t>
      </w:r>
      <w:r w:rsidR="000B345B" w:rsidRPr="00504456">
        <w:rPr>
          <w:rFonts w:ascii="Arial" w:hAnsi="Arial" w:cs="Arial"/>
          <w:color w:val="000000"/>
        </w:rPr>
        <w:t xml:space="preserve"> costs to the health, human service and justice systems.</w:t>
      </w:r>
      <w:r w:rsidR="0042238E" w:rsidRPr="00504456">
        <w:rPr>
          <w:rStyle w:val="FootnoteReference"/>
          <w:rFonts w:ascii="Arial" w:hAnsi="Arial" w:cs="Arial"/>
          <w:color w:val="000000"/>
        </w:rPr>
        <w:footnoteReference w:id="18"/>
      </w:r>
      <w:r w:rsidR="000B345B" w:rsidRPr="00504456">
        <w:rPr>
          <w:rFonts w:ascii="Arial" w:hAnsi="Arial" w:cs="Arial"/>
          <w:color w:val="000000"/>
        </w:rPr>
        <w:t xml:space="preserve">  </w:t>
      </w:r>
    </w:p>
    <w:p w:rsidR="000B345B" w:rsidRPr="00504456" w:rsidRDefault="000B345B" w:rsidP="000B345B">
      <w:pPr>
        <w:rPr>
          <w:rFonts w:ascii="Arial" w:hAnsi="Arial" w:cs="Arial"/>
          <w:color w:val="000000"/>
        </w:rPr>
      </w:pPr>
    </w:p>
    <w:p w:rsidR="000B345B" w:rsidRPr="00504456" w:rsidRDefault="000B345B" w:rsidP="000B345B">
      <w:pPr>
        <w:rPr>
          <w:rFonts w:ascii="Arial" w:hAnsi="Arial" w:cs="Arial"/>
          <w:color w:val="000000"/>
        </w:rPr>
      </w:pPr>
      <w:r w:rsidRPr="00504456">
        <w:rPr>
          <w:rFonts w:ascii="Arial" w:hAnsi="Arial" w:cs="Arial"/>
          <w:color w:val="000000"/>
        </w:rPr>
        <w:t xml:space="preserve">The main direct costs to local government </w:t>
      </w:r>
      <w:r w:rsidR="00451444" w:rsidRPr="00504456">
        <w:rPr>
          <w:rFonts w:ascii="Arial" w:hAnsi="Arial" w:cs="Arial"/>
          <w:color w:val="000000"/>
        </w:rPr>
        <w:t>were</w:t>
      </w:r>
      <w:r w:rsidRPr="00504456">
        <w:rPr>
          <w:rFonts w:ascii="Arial" w:hAnsi="Arial" w:cs="Arial"/>
          <w:color w:val="000000"/>
        </w:rPr>
        <w:t xml:space="preserve"> research and policy development, promoting alternatives to gambling, and responding to applications for the expansion of gaming activity.</w:t>
      </w:r>
      <w:r w:rsidR="00EF02FB" w:rsidRPr="00504456">
        <w:rPr>
          <w:rStyle w:val="FootnoteReference"/>
          <w:rFonts w:ascii="Arial" w:hAnsi="Arial" w:cs="Arial"/>
          <w:color w:val="000000"/>
        </w:rPr>
        <w:footnoteReference w:id="19"/>
      </w:r>
      <w:r w:rsidRPr="00504456">
        <w:rPr>
          <w:rFonts w:ascii="Arial" w:hAnsi="Arial" w:cs="Arial"/>
          <w:color w:val="000000"/>
        </w:rPr>
        <w:t xml:space="preserve"> Estimating the cost of problem gambling to local government is difficult</w:t>
      </w:r>
      <w:r w:rsidR="00451444" w:rsidRPr="00504456">
        <w:rPr>
          <w:rFonts w:ascii="Arial" w:hAnsi="Arial" w:cs="Arial"/>
          <w:color w:val="000000"/>
        </w:rPr>
        <w:t>,</w:t>
      </w:r>
      <w:r w:rsidRPr="00504456">
        <w:rPr>
          <w:rFonts w:ascii="Arial" w:hAnsi="Arial" w:cs="Arial"/>
          <w:color w:val="000000"/>
        </w:rPr>
        <w:t xml:space="preserve"> as it requires the apportioning of gambling related expenditure to either non-problem gambling or problem gambling. Given this context, the </w:t>
      </w:r>
      <w:proofErr w:type="spellStart"/>
      <w:r w:rsidRPr="00504456">
        <w:rPr>
          <w:rFonts w:ascii="Arial" w:hAnsi="Arial" w:cs="Arial"/>
          <w:color w:val="000000"/>
        </w:rPr>
        <w:t>VCEC</w:t>
      </w:r>
      <w:proofErr w:type="spellEnd"/>
      <w:r w:rsidRPr="00504456">
        <w:rPr>
          <w:rFonts w:ascii="Arial" w:hAnsi="Arial" w:cs="Arial"/>
          <w:color w:val="000000"/>
        </w:rPr>
        <w:t xml:space="preserve"> estimates </w:t>
      </w:r>
      <w:r w:rsidR="00566927" w:rsidRPr="00504456">
        <w:rPr>
          <w:rFonts w:ascii="Arial" w:hAnsi="Arial" w:cs="Arial"/>
          <w:color w:val="000000"/>
        </w:rPr>
        <w:t xml:space="preserve">that between </w:t>
      </w:r>
      <w:r w:rsidRPr="00504456">
        <w:rPr>
          <w:rFonts w:ascii="Arial" w:hAnsi="Arial" w:cs="Arial"/>
          <w:color w:val="000000"/>
        </w:rPr>
        <w:t xml:space="preserve">$0.35 million </w:t>
      </w:r>
      <w:r w:rsidR="00566927" w:rsidRPr="00504456">
        <w:rPr>
          <w:rFonts w:ascii="Arial" w:hAnsi="Arial" w:cs="Arial"/>
          <w:color w:val="000000"/>
        </w:rPr>
        <w:t>and</w:t>
      </w:r>
      <w:r w:rsidR="00EF02FB" w:rsidRPr="00504456">
        <w:rPr>
          <w:rFonts w:ascii="Arial" w:hAnsi="Arial" w:cs="Arial"/>
          <w:color w:val="000000"/>
        </w:rPr>
        <w:t xml:space="preserve"> $0.7 million of l</w:t>
      </w:r>
      <w:r w:rsidRPr="00504456">
        <w:rPr>
          <w:rFonts w:ascii="Arial" w:hAnsi="Arial" w:cs="Arial"/>
          <w:color w:val="000000"/>
        </w:rPr>
        <w:t xml:space="preserve">ocal government gambling related expenditure can be attributed to problem gambling. </w:t>
      </w:r>
      <w:r w:rsidR="0058175F" w:rsidRPr="00504456">
        <w:rPr>
          <w:rFonts w:ascii="Arial" w:hAnsi="Arial" w:cs="Arial"/>
          <w:color w:val="000000"/>
        </w:rPr>
        <w:t>There is significant variability between councils with s</w:t>
      </w:r>
      <w:r w:rsidRPr="00504456">
        <w:rPr>
          <w:rFonts w:ascii="Arial" w:hAnsi="Arial" w:cs="Arial"/>
          <w:color w:val="000000"/>
        </w:rPr>
        <w:t xml:space="preserve">ome </w:t>
      </w:r>
      <w:proofErr w:type="spellStart"/>
      <w:r w:rsidR="0058175F" w:rsidRPr="00504456">
        <w:rPr>
          <w:rFonts w:ascii="Arial" w:hAnsi="Arial" w:cs="Arial"/>
          <w:color w:val="000000"/>
        </w:rPr>
        <w:t>incuring</w:t>
      </w:r>
      <w:proofErr w:type="spellEnd"/>
      <w:r w:rsidRPr="00504456">
        <w:rPr>
          <w:rFonts w:ascii="Arial" w:hAnsi="Arial" w:cs="Arial"/>
          <w:color w:val="000000"/>
        </w:rPr>
        <w:t xml:space="preserve"> high costs of around $60 000 </w:t>
      </w:r>
      <w:r w:rsidR="00451444" w:rsidRPr="00504456">
        <w:rPr>
          <w:rFonts w:ascii="Arial" w:hAnsi="Arial" w:cs="Arial"/>
          <w:color w:val="000000"/>
        </w:rPr>
        <w:t>when</w:t>
      </w:r>
      <w:r w:rsidRPr="00504456">
        <w:rPr>
          <w:rFonts w:ascii="Arial" w:hAnsi="Arial" w:cs="Arial"/>
          <w:color w:val="000000"/>
        </w:rPr>
        <w:t xml:space="preserve"> responding to </w:t>
      </w:r>
      <w:r w:rsidR="00451444" w:rsidRPr="00504456">
        <w:rPr>
          <w:rFonts w:ascii="Arial" w:hAnsi="Arial" w:cs="Arial"/>
          <w:color w:val="000000"/>
        </w:rPr>
        <w:t>VCAT</w:t>
      </w:r>
      <w:r w:rsidRPr="00504456">
        <w:rPr>
          <w:rFonts w:ascii="Arial" w:hAnsi="Arial" w:cs="Arial"/>
          <w:color w:val="000000"/>
        </w:rPr>
        <w:t xml:space="preserve"> applications whereas others incur </w:t>
      </w:r>
      <w:r w:rsidR="0058175F" w:rsidRPr="00504456">
        <w:rPr>
          <w:rFonts w:ascii="Arial" w:hAnsi="Arial" w:cs="Arial"/>
          <w:color w:val="000000"/>
        </w:rPr>
        <w:t xml:space="preserve">minimal </w:t>
      </w:r>
      <w:r w:rsidRPr="00504456">
        <w:rPr>
          <w:rFonts w:ascii="Arial" w:hAnsi="Arial" w:cs="Arial"/>
          <w:color w:val="000000"/>
        </w:rPr>
        <w:t>costs.</w:t>
      </w:r>
      <w:r w:rsidR="00EF02FB" w:rsidRPr="00504456">
        <w:rPr>
          <w:rStyle w:val="FootnoteReference"/>
          <w:rFonts w:ascii="Arial" w:hAnsi="Arial" w:cs="Arial"/>
          <w:color w:val="000000"/>
        </w:rPr>
        <w:footnoteReference w:id="20"/>
      </w:r>
      <w:r w:rsidRPr="00504456">
        <w:rPr>
          <w:rFonts w:ascii="Arial" w:hAnsi="Arial" w:cs="Arial"/>
          <w:color w:val="000000"/>
        </w:rPr>
        <w:t xml:space="preserve"> </w:t>
      </w:r>
    </w:p>
    <w:p w:rsidR="000B345B" w:rsidRPr="00504456" w:rsidRDefault="000B345B" w:rsidP="000B345B">
      <w:pPr>
        <w:rPr>
          <w:rFonts w:ascii="Arial" w:hAnsi="Arial" w:cs="Arial"/>
          <w:color w:val="000000"/>
        </w:rPr>
      </w:pPr>
    </w:p>
    <w:p w:rsidR="000B345B" w:rsidRPr="00504456" w:rsidRDefault="005E095A" w:rsidP="00EF02FB">
      <w:pPr>
        <w:rPr>
          <w:rFonts w:ascii="Arial" w:hAnsi="Arial" w:cs="Arial"/>
          <w:color w:val="000000"/>
        </w:rPr>
      </w:pPr>
      <w:r w:rsidRPr="00504456">
        <w:rPr>
          <w:rFonts w:ascii="Arial" w:hAnsi="Arial" w:cs="Arial"/>
          <w:color w:val="000000"/>
        </w:rPr>
        <w:t xml:space="preserve">The </w:t>
      </w:r>
      <w:proofErr w:type="spellStart"/>
      <w:r w:rsidRPr="00504456">
        <w:rPr>
          <w:rFonts w:ascii="Arial" w:hAnsi="Arial" w:cs="Arial"/>
          <w:color w:val="000000"/>
        </w:rPr>
        <w:t>VCEC</w:t>
      </w:r>
      <w:proofErr w:type="spellEnd"/>
      <w:r w:rsidRPr="00504456">
        <w:rPr>
          <w:rFonts w:ascii="Arial" w:hAnsi="Arial" w:cs="Arial"/>
          <w:color w:val="000000"/>
        </w:rPr>
        <w:t xml:space="preserve"> recommended that</w:t>
      </w:r>
      <w:r w:rsidR="000B345B" w:rsidRPr="00504456">
        <w:rPr>
          <w:rFonts w:ascii="Arial" w:hAnsi="Arial" w:cs="Arial"/>
          <w:color w:val="000000"/>
        </w:rPr>
        <w:t xml:space="preserve"> the Victorian Government</w:t>
      </w:r>
      <w:r w:rsidR="00C0310F" w:rsidRPr="00504456">
        <w:rPr>
          <w:rFonts w:ascii="Arial" w:hAnsi="Arial" w:cs="Arial"/>
          <w:color w:val="000000"/>
        </w:rPr>
        <w:t xml:space="preserve"> </w:t>
      </w:r>
      <w:r w:rsidRPr="00504456">
        <w:rPr>
          <w:rFonts w:ascii="Arial" w:hAnsi="Arial" w:cs="Arial"/>
          <w:color w:val="000000"/>
        </w:rPr>
        <w:t>focus on the following</w:t>
      </w:r>
      <w:r w:rsidR="000B345B" w:rsidRPr="00504456">
        <w:rPr>
          <w:rFonts w:ascii="Arial" w:hAnsi="Arial" w:cs="Arial"/>
          <w:color w:val="000000"/>
        </w:rPr>
        <w:t xml:space="preserve"> </w:t>
      </w:r>
      <w:r w:rsidR="00C0310F" w:rsidRPr="00504456">
        <w:rPr>
          <w:rFonts w:ascii="Arial" w:hAnsi="Arial" w:cs="Arial"/>
          <w:color w:val="000000"/>
        </w:rPr>
        <w:t>three priorities for research related to the social and economic costs of problem gambling:</w:t>
      </w:r>
      <w:r w:rsidR="000B345B" w:rsidRPr="00504456">
        <w:rPr>
          <w:rFonts w:ascii="Arial" w:hAnsi="Arial" w:cs="Arial"/>
          <w:color w:val="000000"/>
        </w:rPr>
        <w:t xml:space="preserve">  </w:t>
      </w:r>
    </w:p>
    <w:p w:rsidR="000B345B" w:rsidRPr="00504456" w:rsidRDefault="00174BB5" w:rsidP="00036CC5">
      <w:pPr>
        <w:pStyle w:val="ListParagraph"/>
        <w:numPr>
          <w:ilvl w:val="0"/>
          <w:numId w:val="39"/>
        </w:numPr>
        <w:rPr>
          <w:rFonts w:ascii="Arial" w:hAnsi="Arial" w:cs="Arial"/>
          <w:sz w:val="24"/>
          <w:szCs w:val="24"/>
        </w:rPr>
      </w:pPr>
      <w:r w:rsidRPr="00504456">
        <w:rPr>
          <w:rFonts w:ascii="Arial" w:hAnsi="Arial" w:cs="Arial"/>
          <w:sz w:val="24"/>
          <w:szCs w:val="24"/>
        </w:rPr>
        <w:t>b</w:t>
      </w:r>
      <w:r w:rsidR="000B345B" w:rsidRPr="00504456">
        <w:rPr>
          <w:rFonts w:ascii="Arial" w:hAnsi="Arial" w:cs="Arial"/>
          <w:sz w:val="24"/>
          <w:szCs w:val="24"/>
        </w:rPr>
        <w:t xml:space="preserve">etter identification of people in the health, social welfare and justice systems who have gambling problems through improved screening of clients </w:t>
      </w:r>
    </w:p>
    <w:p w:rsidR="000B345B" w:rsidRPr="00504456" w:rsidRDefault="00174BB5" w:rsidP="00036CC5">
      <w:pPr>
        <w:pStyle w:val="ListParagraph"/>
        <w:numPr>
          <w:ilvl w:val="0"/>
          <w:numId w:val="39"/>
        </w:numPr>
        <w:rPr>
          <w:rFonts w:ascii="Arial" w:hAnsi="Arial" w:cs="Arial"/>
          <w:sz w:val="24"/>
          <w:szCs w:val="24"/>
        </w:rPr>
      </w:pPr>
      <w:r w:rsidRPr="00504456">
        <w:rPr>
          <w:rFonts w:ascii="Arial" w:hAnsi="Arial" w:cs="Arial"/>
          <w:sz w:val="24"/>
          <w:szCs w:val="24"/>
        </w:rPr>
        <w:t>b</w:t>
      </w:r>
      <w:r w:rsidR="000B345B" w:rsidRPr="00504456">
        <w:rPr>
          <w:rFonts w:ascii="Arial" w:hAnsi="Arial" w:cs="Arial"/>
          <w:sz w:val="24"/>
          <w:szCs w:val="24"/>
        </w:rPr>
        <w:t xml:space="preserve">etter understanding </w:t>
      </w:r>
      <w:r w:rsidR="00FA67E4" w:rsidRPr="00504456">
        <w:rPr>
          <w:rFonts w:ascii="Arial" w:hAnsi="Arial" w:cs="Arial"/>
          <w:sz w:val="24"/>
          <w:szCs w:val="24"/>
        </w:rPr>
        <w:t xml:space="preserve">of </w:t>
      </w:r>
      <w:r w:rsidR="000B345B" w:rsidRPr="00504456">
        <w:rPr>
          <w:rFonts w:ascii="Arial" w:hAnsi="Arial" w:cs="Arial"/>
          <w:sz w:val="24"/>
          <w:szCs w:val="24"/>
        </w:rPr>
        <w:t xml:space="preserve">the nature and extent of harms suffered by problem gamblers and their families through targeted studies of problem gamblers </w:t>
      </w:r>
    </w:p>
    <w:p w:rsidR="000B345B" w:rsidRPr="00504456" w:rsidRDefault="00174BB5" w:rsidP="00036CC5">
      <w:pPr>
        <w:pStyle w:val="ListParagraph"/>
        <w:numPr>
          <w:ilvl w:val="0"/>
          <w:numId w:val="39"/>
        </w:numPr>
        <w:rPr>
          <w:rFonts w:ascii="Arial" w:hAnsi="Arial" w:cs="Arial"/>
          <w:sz w:val="24"/>
          <w:szCs w:val="24"/>
        </w:rPr>
      </w:pPr>
      <w:proofErr w:type="gramStart"/>
      <w:r w:rsidRPr="00504456">
        <w:rPr>
          <w:rFonts w:ascii="Arial" w:hAnsi="Arial" w:cs="Arial"/>
          <w:sz w:val="24"/>
          <w:szCs w:val="24"/>
        </w:rPr>
        <w:t>e</w:t>
      </w:r>
      <w:r w:rsidR="000B345B" w:rsidRPr="00504456">
        <w:rPr>
          <w:rFonts w:ascii="Arial" w:hAnsi="Arial" w:cs="Arial"/>
          <w:sz w:val="24"/>
          <w:szCs w:val="24"/>
        </w:rPr>
        <w:t>valuating</w:t>
      </w:r>
      <w:proofErr w:type="gramEnd"/>
      <w:r w:rsidR="000B345B" w:rsidRPr="00504456">
        <w:rPr>
          <w:rFonts w:ascii="Arial" w:hAnsi="Arial" w:cs="Arial"/>
          <w:sz w:val="24"/>
          <w:szCs w:val="24"/>
        </w:rPr>
        <w:t xml:space="preserve"> the effectiveness of measures designed to reduce harms from problem gambling, including treatment programs and regulatory measures. </w:t>
      </w:r>
    </w:p>
    <w:p w:rsidR="00E20A14" w:rsidRPr="00504456" w:rsidRDefault="000B345B" w:rsidP="00756A70">
      <w:pPr>
        <w:rPr>
          <w:rFonts w:ascii="Arial" w:hAnsi="Arial" w:cs="Arial"/>
          <w:color w:val="000000"/>
        </w:rPr>
      </w:pPr>
      <w:r w:rsidRPr="00504456">
        <w:rPr>
          <w:rFonts w:ascii="Arial" w:hAnsi="Arial" w:cs="Arial"/>
          <w:color w:val="000000"/>
        </w:rPr>
        <w:lastRenderedPageBreak/>
        <w:t xml:space="preserve">The Victorian Government has responded to these recommendations, </w:t>
      </w:r>
      <w:r w:rsidR="00C82B86" w:rsidRPr="00504456">
        <w:rPr>
          <w:rFonts w:ascii="Arial" w:hAnsi="Arial" w:cs="Arial"/>
          <w:color w:val="000000"/>
        </w:rPr>
        <w:t xml:space="preserve">affirming </w:t>
      </w:r>
      <w:r w:rsidR="005E095A" w:rsidRPr="00504456">
        <w:rPr>
          <w:rFonts w:ascii="Arial" w:hAnsi="Arial" w:cs="Arial"/>
          <w:color w:val="000000"/>
        </w:rPr>
        <w:t xml:space="preserve">its </w:t>
      </w:r>
      <w:r w:rsidR="00756A70" w:rsidRPr="00504456">
        <w:rPr>
          <w:rFonts w:ascii="Arial" w:hAnsi="Arial" w:cs="Arial"/>
          <w:color w:val="000000"/>
        </w:rPr>
        <w:t xml:space="preserve">commitment </w:t>
      </w:r>
      <w:r w:rsidR="00756A70" w:rsidRPr="00504456">
        <w:rPr>
          <w:rFonts w:ascii="Arial" w:hAnsi="Arial" w:cs="Arial"/>
        </w:rPr>
        <w:t>to 'reducing the costs of problem gambling in our community by continuing to take strong and effective action to reduce problem gambling.'</w:t>
      </w:r>
      <w:r w:rsidR="00756A70" w:rsidRPr="00504456">
        <w:rPr>
          <w:rStyle w:val="FootnoteReference"/>
          <w:rFonts w:ascii="Arial" w:hAnsi="Arial" w:cs="Arial"/>
          <w:color w:val="000000"/>
        </w:rPr>
        <w:footnoteReference w:id="21"/>
      </w:r>
      <w:r w:rsidR="00756A70" w:rsidRPr="00504456">
        <w:rPr>
          <w:rFonts w:ascii="Arial" w:hAnsi="Arial" w:cs="Arial"/>
          <w:color w:val="000000"/>
        </w:rPr>
        <w:t xml:space="preserve"> </w:t>
      </w:r>
      <w:r w:rsidR="00756A70" w:rsidRPr="00504456">
        <w:rPr>
          <w:rFonts w:ascii="Arial" w:hAnsi="Arial" w:cs="Arial"/>
        </w:rPr>
        <w:t>The</w:t>
      </w:r>
      <w:r w:rsidR="005E095A" w:rsidRPr="00504456">
        <w:rPr>
          <w:rFonts w:ascii="Arial" w:hAnsi="Arial" w:cs="Arial"/>
        </w:rPr>
        <w:t xml:space="preserve"> Victorian Government's</w:t>
      </w:r>
      <w:r w:rsidR="00756A70" w:rsidRPr="00504456">
        <w:rPr>
          <w:rFonts w:ascii="Arial" w:hAnsi="Arial" w:cs="Arial"/>
        </w:rPr>
        <w:t xml:space="preserve"> response states that research priorities </w:t>
      </w:r>
      <w:r w:rsidR="0058175F" w:rsidRPr="00504456">
        <w:rPr>
          <w:rFonts w:ascii="Arial" w:hAnsi="Arial" w:cs="Arial"/>
        </w:rPr>
        <w:t>one</w:t>
      </w:r>
      <w:r w:rsidR="00756A70" w:rsidRPr="00504456">
        <w:rPr>
          <w:rFonts w:ascii="Arial" w:hAnsi="Arial" w:cs="Arial"/>
        </w:rPr>
        <w:t xml:space="preserve"> and </w:t>
      </w:r>
      <w:r w:rsidR="0058175F" w:rsidRPr="00504456">
        <w:rPr>
          <w:rFonts w:ascii="Arial" w:hAnsi="Arial" w:cs="Arial"/>
        </w:rPr>
        <w:t>two</w:t>
      </w:r>
      <w:r w:rsidR="00756A70" w:rsidRPr="00504456">
        <w:rPr>
          <w:rFonts w:ascii="Arial" w:hAnsi="Arial" w:cs="Arial"/>
        </w:rPr>
        <w:t xml:space="preserve"> will be addressed by t</w:t>
      </w:r>
      <w:r w:rsidR="00E20A14" w:rsidRPr="00504456">
        <w:rPr>
          <w:rFonts w:ascii="Arial" w:hAnsi="Arial" w:cs="Arial"/>
        </w:rPr>
        <w:t>he Victorian Responsible Gambling Foundation</w:t>
      </w:r>
      <w:r w:rsidR="00756A70" w:rsidRPr="00504456">
        <w:rPr>
          <w:rFonts w:ascii="Arial" w:hAnsi="Arial" w:cs="Arial"/>
        </w:rPr>
        <w:t xml:space="preserve"> </w:t>
      </w:r>
      <w:r w:rsidR="0058175F" w:rsidRPr="00504456">
        <w:rPr>
          <w:rFonts w:ascii="Arial" w:hAnsi="Arial" w:cs="Arial"/>
        </w:rPr>
        <w:t>through</w:t>
      </w:r>
      <w:r w:rsidR="00E20A14" w:rsidRPr="00504456">
        <w:rPr>
          <w:rFonts w:ascii="Arial" w:hAnsi="Arial" w:cs="Arial"/>
        </w:rPr>
        <w:t xml:space="preserve"> its forward work program.</w:t>
      </w:r>
      <w:r w:rsidR="00756A70" w:rsidRPr="00504456">
        <w:rPr>
          <w:rFonts w:ascii="Arial" w:hAnsi="Arial" w:cs="Arial"/>
        </w:rPr>
        <w:t xml:space="preserve">  </w:t>
      </w:r>
      <w:r w:rsidR="00C82B86" w:rsidRPr="00504456">
        <w:rPr>
          <w:rFonts w:ascii="Arial" w:hAnsi="Arial" w:cs="Arial"/>
        </w:rPr>
        <w:t>Recommendation</w:t>
      </w:r>
      <w:r w:rsidR="0089126F" w:rsidRPr="00504456">
        <w:rPr>
          <w:rFonts w:ascii="Arial" w:hAnsi="Arial" w:cs="Arial"/>
        </w:rPr>
        <w:t xml:space="preserve"> </w:t>
      </w:r>
      <w:r w:rsidR="0058175F" w:rsidRPr="00504456">
        <w:rPr>
          <w:rFonts w:ascii="Arial" w:hAnsi="Arial" w:cs="Arial"/>
        </w:rPr>
        <w:t>three</w:t>
      </w:r>
      <w:r w:rsidR="0089126F" w:rsidRPr="00504456">
        <w:rPr>
          <w:rFonts w:ascii="Arial" w:hAnsi="Arial" w:cs="Arial"/>
        </w:rPr>
        <w:t xml:space="preserve"> </w:t>
      </w:r>
      <w:r w:rsidR="00C82B86" w:rsidRPr="00504456">
        <w:rPr>
          <w:rFonts w:ascii="Arial" w:hAnsi="Arial" w:cs="Arial"/>
        </w:rPr>
        <w:t>is being addressed through the following measures</w:t>
      </w:r>
      <w:r w:rsidR="0089126F" w:rsidRPr="00504456">
        <w:rPr>
          <w:rFonts w:ascii="Arial" w:hAnsi="Arial" w:cs="Arial"/>
        </w:rPr>
        <w:t>:</w:t>
      </w:r>
      <w:r w:rsidR="0089126F" w:rsidRPr="00504456">
        <w:rPr>
          <w:rFonts w:cs="Calibri"/>
          <w:sz w:val="20"/>
          <w:szCs w:val="22"/>
        </w:rPr>
        <w:t xml:space="preserve"> </w:t>
      </w:r>
    </w:p>
    <w:p w:rsidR="00E20A14" w:rsidRPr="00504456" w:rsidRDefault="00C82B86" w:rsidP="004D35F0">
      <w:pPr>
        <w:pStyle w:val="ListParagraph"/>
        <w:numPr>
          <w:ilvl w:val="0"/>
          <w:numId w:val="40"/>
        </w:numPr>
        <w:spacing w:line="240" w:lineRule="auto"/>
        <w:rPr>
          <w:rFonts w:cs="Calibri"/>
          <w:sz w:val="20"/>
        </w:rPr>
      </w:pPr>
      <w:r w:rsidRPr="00504456">
        <w:rPr>
          <w:rFonts w:ascii="Arial" w:hAnsi="Arial" w:cs="Arial"/>
          <w:sz w:val="24"/>
          <w:szCs w:val="24"/>
        </w:rPr>
        <w:t>A</w:t>
      </w:r>
      <w:r w:rsidR="00E20A14" w:rsidRPr="00504456">
        <w:rPr>
          <w:rFonts w:ascii="Arial" w:hAnsi="Arial" w:cs="Arial"/>
          <w:sz w:val="24"/>
          <w:szCs w:val="24"/>
        </w:rPr>
        <w:t>n independent evaluation project on the removal of ATMs from ga</w:t>
      </w:r>
      <w:r w:rsidRPr="00504456">
        <w:rPr>
          <w:rFonts w:ascii="Arial" w:hAnsi="Arial" w:cs="Arial"/>
          <w:sz w:val="24"/>
          <w:szCs w:val="24"/>
        </w:rPr>
        <w:t>m</w:t>
      </w:r>
      <w:r w:rsidR="005739B2" w:rsidRPr="00504456">
        <w:rPr>
          <w:rFonts w:ascii="Arial" w:hAnsi="Arial" w:cs="Arial"/>
          <w:sz w:val="24"/>
          <w:szCs w:val="24"/>
        </w:rPr>
        <w:t>bling</w:t>
      </w:r>
      <w:r w:rsidRPr="00504456">
        <w:rPr>
          <w:rFonts w:ascii="Arial" w:hAnsi="Arial" w:cs="Arial"/>
          <w:sz w:val="24"/>
          <w:szCs w:val="24"/>
        </w:rPr>
        <w:t xml:space="preserve"> venues</w:t>
      </w:r>
      <w:r w:rsidR="005E095A" w:rsidRPr="00504456">
        <w:rPr>
          <w:rFonts w:ascii="Arial" w:hAnsi="Arial" w:cs="Arial"/>
          <w:sz w:val="24"/>
          <w:szCs w:val="24"/>
        </w:rPr>
        <w:t>.</w:t>
      </w:r>
      <w:r w:rsidR="008457B3" w:rsidRPr="00504456">
        <w:rPr>
          <w:rFonts w:ascii="Arial" w:hAnsi="Arial" w:cs="Arial"/>
          <w:sz w:val="24"/>
          <w:szCs w:val="24"/>
        </w:rPr>
        <w:t xml:space="preserve"> </w:t>
      </w:r>
      <w:r w:rsidRPr="00504456">
        <w:rPr>
          <w:rFonts w:ascii="Arial" w:hAnsi="Arial" w:cs="Arial"/>
          <w:sz w:val="24"/>
          <w:szCs w:val="24"/>
        </w:rPr>
        <w:t xml:space="preserve">This study involved the collection of data from </w:t>
      </w:r>
      <w:r w:rsidR="0088513E" w:rsidRPr="00504456">
        <w:rPr>
          <w:rFonts w:ascii="Arial" w:hAnsi="Arial" w:cs="Arial"/>
          <w:sz w:val="24"/>
          <w:szCs w:val="24"/>
        </w:rPr>
        <w:t>players and venues before and after</w:t>
      </w:r>
      <w:r w:rsidR="00E20A14" w:rsidRPr="00504456">
        <w:rPr>
          <w:rFonts w:ascii="Arial" w:hAnsi="Arial" w:cs="Arial"/>
          <w:sz w:val="24"/>
          <w:szCs w:val="24"/>
        </w:rPr>
        <w:t xml:space="preserve"> the removal in July 2012. </w:t>
      </w:r>
      <w:r w:rsidRPr="00504456">
        <w:rPr>
          <w:rFonts w:ascii="Arial" w:hAnsi="Arial" w:cs="Arial"/>
          <w:sz w:val="24"/>
          <w:szCs w:val="24"/>
        </w:rPr>
        <w:t xml:space="preserve">The </w:t>
      </w:r>
      <w:r w:rsidR="008457B3" w:rsidRPr="00504456">
        <w:rPr>
          <w:rFonts w:ascii="Arial" w:hAnsi="Arial" w:cs="Arial"/>
          <w:sz w:val="24"/>
          <w:szCs w:val="24"/>
        </w:rPr>
        <w:t>final r</w:t>
      </w:r>
      <w:r w:rsidR="005739B2" w:rsidRPr="00504456">
        <w:rPr>
          <w:rFonts w:ascii="Arial" w:hAnsi="Arial" w:cs="Arial"/>
          <w:sz w:val="24"/>
          <w:szCs w:val="24"/>
        </w:rPr>
        <w:t xml:space="preserve">eport was </w:t>
      </w:r>
      <w:r w:rsidRPr="00504456">
        <w:rPr>
          <w:rFonts w:ascii="Arial" w:hAnsi="Arial" w:cs="Arial"/>
          <w:sz w:val="24"/>
          <w:szCs w:val="24"/>
        </w:rPr>
        <w:t xml:space="preserve">released in September 2013 </w:t>
      </w:r>
      <w:r w:rsidR="005739B2" w:rsidRPr="00504456">
        <w:rPr>
          <w:rFonts w:ascii="Arial" w:hAnsi="Arial" w:cs="Arial"/>
          <w:sz w:val="24"/>
          <w:szCs w:val="24"/>
        </w:rPr>
        <w:t>and shows that</w:t>
      </w:r>
      <w:r w:rsidRPr="00504456">
        <w:rPr>
          <w:rFonts w:ascii="Arial" w:hAnsi="Arial" w:cs="Arial"/>
          <w:sz w:val="24"/>
          <w:szCs w:val="24"/>
        </w:rPr>
        <w:t xml:space="preserve"> the removal of ATMs has been an effective harm </w:t>
      </w:r>
      <w:proofErr w:type="spellStart"/>
      <w:r w:rsidRPr="00504456">
        <w:rPr>
          <w:rFonts w:ascii="Arial" w:hAnsi="Arial" w:cs="Arial"/>
          <w:sz w:val="24"/>
          <w:szCs w:val="24"/>
        </w:rPr>
        <w:t>minimisation</w:t>
      </w:r>
      <w:proofErr w:type="spellEnd"/>
      <w:r w:rsidRPr="00504456">
        <w:rPr>
          <w:rFonts w:ascii="Arial" w:hAnsi="Arial" w:cs="Arial"/>
          <w:sz w:val="24"/>
          <w:szCs w:val="24"/>
        </w:rPr>
        <w:t xml:space="preserve"> measure</w:t>
      </w:r>
      <w:r w:rsidR="00E20A14" w:rsidRPr="00504456">
        <w:rPr>
          <w:rFonts w:ascii="Arial" w:hAnsi="Arial" w:cs="Arial"/>
          <w:sz w:val="24"/>
          <w:szCs w:val="24"/>
        </w:rPr>
        <w:t xml:space="preserve"> </w:t>
      </w:r>
      <w:r w:rsidRPr="00504456">
        <w:rPr>
          <w:rFonts w:ascii="Arial" w:hAnsi="Arial" w:cs="Arial"/>
          <w:sz w:val="24"/>
          <w:szCs w:val="24"/>
        </w:rPr>
        <w:t>for problem gambling.</w:t>
      </w:r>
      <w:r w:rsidRPr="00504456">
        <w:rPr>
          <w:rStyle w:val="FootnoteReference"/>
          <w:rFonts w:cs="Calibri"/>
          <w:sz w:val="20"/>
        </w:rPr>
        <w:footnoteReference w:id="22"/>
      </w:r>
    </w:p>
    <w:p w:rsidR="00487E35" w:rsidRPr="00504456" w:rsidRDefault="00E20A14" w:rsidP="004D35F0">
      <w:pPr>
        <w:pStyle w:val="ListParagraph"/>
        <w:numPr>
          <w:ilvl w:val="0"/>
          <w:numId w:val="40"/>
        </w:numPr>
        <w:spacing w:line="240" w:lineRule="auto"/>
        <w:rPr>
          <w:rFonts w:cs="Calibri"/>
          <w:sz w:val="20"/>
        </w:rPr>
      </w:pPr>
      <w:r w:rsidRPr="00504456">
        <w:rPr>
          <w:rFonts w:ascii="Arial" w:hAnsi="Arial" w:cs="Arial"/>
          <w:sz w:val="24"/>
          <w:szCs w:val="24"/>
        </w:rPr>
        <w:t xml:space="preserve">Providing funding for an independent evaluation of </w:t>
      </w:r>
      <w:r w:rsidR="005739B2" w:rsidRPr="00504456">
        <w:rPr>
          <w:rFonts w:ascii="Arial" w:hAnsi="Arial" w:cs="Arial"/>
          <w:sz w:val="24"/>
          <w:szCs w:val="24"/>
        </w:rPr>
        <w:t xml:space="preserve">the Victorian Government's </w:t>
      </w:r>
      <w:r w:rsidR="00A51AFC" w:rsidRPr="00504456">
        <w:rPr>
          <w:rFonts w:ascii="Arial" w:hAnsi="Arial" w:cs="Arial"/>
          <w:sz w:val="24"/>
          <w:szCs w:val="24"/>
        </w:rPr>
        <w:t>voluntary pre-commitment policy</w:t>
      </w:r>
      <w:r w:rsidR="004D35F0" w:rsidRPr="00504456">
        <w:rPr>
          <w:rFonts w:cs="Calibri"/>
          <w:sz w:val="24"/>
          <w:szCs w:val="24"/>
        </w:rPr>
        <w:t xml:space="preserve">. </w:t>
      </w:r>
      <w:r w:rsidR="004D35F0" w:rsidRPr="00504456">
        <w:rPr>
          <w:rFonts w:ascii="Arial" w:hAnsi="Arial" w:cs="Arial"/>
          <w:sz w:val="24"/>
          <w:szCs w:val="24"/>
        </w:rPr>
        <w:t>While pre-commitment technology will be mandatory on all new gaming machines at gaming venues across the state, including Crown Casino, t</w:t>
      </w:r>
      <w:r w:rsidR="00113AD2" w:rsidRPr="00504456">
        <w:rPr>
          <w:rFonts w:ascii="Arial" w:hAnsi="Arial" w:cs="Arial"/>
          <w:sz w:val="24"/>
          <w:szCs w:val="24"/>
        </w:rPr>
        <w:t xml:space="preserve">he Victorian pre-commitment scheme will be voluntary for players to use and voluntary for players to set a limit. </w:t>
      </w:r>
      <w:r w:rsidR="00487E35" w:rsidRPr="00504456">
        <w:rPr>
          <w:rFonts w:ascii="Arial" w:hAnsi="Arial" w:cs="Arial"/>
          <w:sz w:val="24"/>
          <w:szCs w:val="24"/>
        </w:rPr>
        <w:t xml:space="preserve">The provider for the voluntary pre-commitment scheme in Victoria will be </w:t>
      </w:r>
      <w:proofErr w:type="spellStart"/>
      <w:r w:rsidR="00487E35" w:rsidRPr="00504456">
        <w:rPr>
          <w:rFonts w:ascii="Arial" w:hAnsi="Arial" w:cs="Arial"/>
          <w:sz w:val="24"/>
          <w:szCs w:val="24"/>
        </w:rPr>
        <w:t>Intralot</w:t>
      </w:r>
      <w:proofErr w:type="spellEnd"/>
      <w:r w:rsidR="00487E35" w:rsidRPr="00504456">
        <w:rPr>
          <w:rFonts w:ascii="Arial" w:hAnsi="Arial" w:cs="Arial"/>
          <w:sz w:val="24"/>
          <w:szCs w:val="24"/>
        </w:rPr>
        <w:t xml:space="preserve"> Gaming Services, the current monitoring licensee for Victorian </w:t>
      </w:r>
      <w:proofErr w:type="spellStart"/>
      <w:r w:rsidR="00487E35" w:rsidRPr="00504456">
        <w:rPr>
          <w:rFonts w:ascii="Arial" w:hAnsi="Arial" w:cs="Arial"/>
          <w:sz w:val="24"/>
          <w:szCs w:val="24"/>
        </w:rPr>
        <w:t>EGMs</w:t>
      </w:r>
      <w:proofErr w:type="spellEnd"/>
      <w:r w:rsidR="00487E35" w:rsidRPr="00504456">
        <w:rPr>
          <w:rFonts w:ascii="Arial" w:hAnsi="Arial" w:cs="Arial"/>
          <w:sz w:val="24"/>
          <w:szCs w:val="24"/>
        </w:rPr>
        <w:t xml:space="preserve">. </w:t>
      </w:r>
      <w:proofErr w:type="spellStart"/>
      <w:r w:rsidR="00487E35" w:rsidRPr="00504456">
        <w:rPr>
          <w:rFonts w:ascii="Arial" w:hAnsi="Arial" w:cs="Arial"/>
          <w:sz w:val="24"/>
          <w:szCs w:val="24"/>
        </w:rPr>
        <w:t>Intralot</w:t>
      </w:r>
      <w:proofErr w:type="spellEnd"/>
      <w:r w:rsidR="00487E35" w:rsidRPr="00504456">
        <w:rPr>
          <w:rFonts w:ascii="Arial" w:hAnsi="Arial" w:cs="Arial"/>
          <w:sz w:val="24"/>
          <w:szCs w:val="24"/>
        </w:rPr>
        <w:t xml:space="preserve"> has recommended that the pre-commitment scheme is delivered through the same card and te</w:t>
      </w:r>
      <w:r w:rsidR="008457B3" w:rsidRPr="00504456">
        <w:rPr>
          <w:rFonts w:ascii="Arial" w:hAnsi="Arial" w:cs="Arial"/>
          <w:sz w:val="24"/>
          <w:szCs w:val="24"/>
        </w:rPr>
        <w:t xml:space="preserve">chnology as venue loyalty cards, which concerns problem gambling advocates. An independent external evaluator will </w:t>
      </w:r>
      <w:proofErr w:type="spellStart"/>
      <w:r w:rsidR="008457B3" w:rsidRPr="00504456">
        <w:rPr>
          <w:rFonts w:ascii="Arial" w:hAnsi="Arial" w:cs="Arial"/>
          <w:sz w:val="24"/>
          <w:szCs w:val="24"/>
        </w:rPr>
        <w:t>analyse</w:t>
      </w:r>
      <w:proofErr w:type="spellEnd"/>
      <w:r w:rsidR="008457B3" w:rsidRPr="00504456">
        <w:rPr>
          <w:rFonts w:ascii="Arial" w:hAnsi="Arial" w:cs="Arial"/>
          <w:sz w:val="24"/>
          <w:szCs w:val="24"/>
        </w:rPr>
        <w:t xml:space="preserve"> and collect data on gaming machine players and venues, before and after the policy is implemented in 2015-16.</w:t>
      </w:r>
      <w:r w:rsidR="008457B3" w:rsidRPr="00504456">
        <w:rPr>
          <w:rStyle w:val="FootnoteReference"/>
          <w:rFonts w:cs="Calibri"/>
          <w:sz w:val="20"/>
        </w:rPr>
        <w:footnoteReference w:id="23"/>
      </w:r>
    </w:p>
    <w:p w:rsidR="0086438D" w:rsidRPr="00504456" w:rsidRDefault="0086438D" w:rsidP="00F638A6">
      <w:pPr>
        <w:pStyle w:val="ListParagraph"/>
      </w:pPr>
    </w:p>
    <w:p w:rsidR="00A14868" w:rsidRPr="00504456" w:rsidRDefault="00BF74CC" w:rsidP="00A14868">
      <w:pPr>
        <w:pStyle w:val="Heading3"/>
        <w:rPr>
          <w:rFonts w:ascii="HelveticaNeueLTStd-Roman" w:hAnsi="HelveticaNeueLTStd-Roman" w:cs="HelveticaNeueLTStd-Roman"/>
          <w:sz w:val="24"/>
          <w:szCs w:val="24"/>
        </w:rPr>
      </w:pPr>
      <w:bookmarkStart w:id="10" w:name="_Toc372787025"/>
      <w:proofErr w:type="spellStart"/>
      <w:r w:rsidRPr="00504456">
        <w:rPr>
          <w:sz w:val="24"/>
          <w:szCs w:val="24"/>
        </w:rPr>
        <w:t>EGMs</w:t>
      </w:r>
      <w:proofErr w:type="spellEnd"/>
      <w:r w:rsidRPr="00504456">
        <w:rPr>
          <w:sz w:val="24"/>
          <w:szCs w:val="24"/>
        </w:rPr>
        <w:t xml:space="preserve"> in Victoria</w:t>
      </w:r>
      <w:bookmarkEnd w:id="10"/>
    </w:p>
    <w:p w:rsidR="00A14868" w:rsidRPr="00504456" w:rsidRDefault="00A14868" w:rsidP="00A14868">
      <w:pPr>
        <w:rPr>
          <w:rFonts w:ascii="Arial" w:hAnsi="Arial" w:cs="Arial"/>
        </w:rPr>
      </w:pPr>
      <w:r w:rsidRPr="00504456">
        <w:rPr>
          <w:rFonts w:ascii="Arial" w:hAnsi="Arial" w:cs="Arial"/>
        </w:rPr>
        <w:t xml:space="preserve">State Ministerial Directions issued on 18 October 2006 (No. S277) set the following parameters on Victoria's </w:t>
      </w:r>
      <w:proofErr w:type="spellStart"/>
      <w:r w:rsidRPr="00504456">
        <w:rPr>
          <w:rFonts w:ascii="Arial" w:hAnsi="Arial" w:cs="Arial"/>
        </w:rPr>
        <w:t>EGM</w:t>
      </w:r>
      <w:proofErr w:type="spellEnd"/>
      <w:r w:rsidRPr="00504456">
        <w:rPr>
          <w:rFonts w:ascii="Arial" w:hAnsi="Arial" w:cs="Arial"/>
        </w:rPr>
        <w:t xml:space="preserve"> industry:</w:t>
      </w:r>
    </w:p>
    <w:p w:rsidR="00A14868" w:rsidRPr="00504456" w:rsidRDefault="00A14868" w:rsidP="00A14868">
      <w:pPr>
        <w:numPr>
          <w:ilvl w:val="0"/>
          <w:numId w:val="12"/>
        </w:numPr>
        <w:rPr>
          <w:rFonts w:ascii="Arial" w:hAnsi="Arial" w:cs="Arial"/>
        </w:rPr>
      </w:pPr>
      <w:r w:rsidRPr="00504456">
        <w:rPr>
          <w:rFonts w:ascii="Arial" w:hAnsi="Arial" w:cs="Arial"/>
        </w:rPr>
        <w:t xml:space="preserve">The maximum number of </w:t>
      </w:r>
      <w:proofErr w:type="spellStart"/>
      <w:r w:rsidRPr="00504456">
        <w:rPr>
          <w:rFonts w:ascii="Arial" w:hAnsi="Arial" w:cs="Arial"/>
        </w:rPr>
        <w:t>EGMs</w:t>
      </w:r>
      <w:proofErr w:type="spellEnd"/>
      <w:r w:rsidRPr="00504456">
        <w:rPr>
          <w:rFonts w:ascii="Arial" w:hAnsi="Arial" w:cs="Arial"/>
        </w:rPr>
        <w:t xml:space="preserve"> permitted in Victoria, other than the Melbourne Casino, is 27,500.</w:t>
      </w:r>
    </w:p>
    <w:p w:rsidR="00A14868" w:rsidRPr="00504456" w:rsidRDefault="00A14868" w:rsidP="00A14868">
      <w:pPr>
        <w:numPr>
          <w:ilvl w:val="0"/>
          <w:numId w:val="12"/>
        </w:numPr>
        <w:rPr>
          <w:rFonts w:ascii="Arial" w:hAnsi="Arial" w:cs="Arial"/>
        </w:rPr>
      </w:pPr>
      <w:r w:rsidRPr="00504456">
        <w:rPr>
          <w:rFonts w:ascii="Arial" w:hAnsi="Arial" w:cs="Arial"/>
        </w:rPr>
        <w:t xml:space="preserve">The maximum number of </w:t>
      </w:r>
      <w:proofErr w:type="spellStart"/>
      <w:r w:rsidRPr="00504456">
        <w:rPr>
          <w:rFonts w:ascii="Arial" w:hAnsi="Arial" w:cs="Arial"/>
        </w:rPr>
        <w:t>EGMs</w:t>
      </w:r>
      <w:proofErr w:type="spellEnd"/>
      <w:r w:rsidRPr="00504456">
        <w:rPr>
          <w:rFonts w:ascii="Arial" w:hAnsi="Arial" w:cs="Arial"/>
        </w:rPr>
        <w:t xml:space="preserve"> permitted in the Melbourne Casino is 2,500.</w:t>
      </w:r>
    </w:p>
    <w:p w:rsidR="00A14868" w:rsidRPr="00504456" w:rsidRDefault="00A14868" w:rsidP="00A14868">
      <w:pPr>
        <w:numPr>
          <w:ilvl w:val="0"/>
          <w:numId w:val="12"/>
        </w:numPr>
        <w:rPr>
          <w:rFonts w:ascii="Arial" w:hAnsi="Arial" w:cs="Arial"/>
        </w:rPr>
      </w:pPr>
      <w:r w:rsidRPr="00504456">
        <w:rPr>
          <w:rFonts w:ascii="Arial" w:hAnsi="Arial" w:cs="Arial"/>
        </w:rPr>
        <w:t xml:space="preserve">The maximum permissible number of </w:t>
      </w:r>
      <w:proofErr w:type="spellStart"/>
      <w:r w:rsidRPr="00504456">
        <w:rPr>
          <w:rFonts w:ascii="Arial" w:hAnsi="Arial" w:cs="Arial"/>
        </w:rPr>
        <w:t>EGMs</w:t>
      </w:r>
      <w:proofErr w:type="spellEnd"/>
      <w:r w:rsidRPr="00504456">
        <w:rPr>
          <w:rFonts w:ascii="Arial" w:hAnsi="Arial" w:cs="Arial"/>
        </w:rPr>
        <w:t xml:space="preserve"> in any approved venue outside of the Melbourne Casino is 105 </w:t>
      </w:r>
      <w:proofErr w:type="spellStart"/>
      <w:r w:rsidRPr="00504456">
        <w:rPr>
          <w:rFonts w:ascii="Arial" w:hAnsi="Arial" w:cs="Arial"/>
        </w:rPr>
        <w:t>EGMs</w:t>
      </w:r>
      <w:proofErr w:type="spellEnd"/>
      <w:r w:rsidRPr="00504456">
        <w:rPr>
          <w:rFonts w:ascii="Arial" w:hAnsi="Arial" w:cs="Arial"/>
        </w:rPr>
        <w:t>.</w:t>
      </w:r>
    </w:p>
    <w:p w:rsidR="00A14868" w:rsidRPr="00504456" w:rsidRDefault="00B555E4" w:rsidP="00A14868">
      <w:pPr>
        <w:numPr>
          <w:ilvl w:val="0"/>
          <w:numId w:val="12"/>
        </w:numPr>
        <w:rPr>
          <w:rFonts w:ascii="Arial" w:hAnsi="Arial" w:cs="Arial"/>
        </w:rPr>
      </w:pPr>
      <w:r w:rsidRPr="00504456">
        <w:rPr>
          <w:rFonts w:ascii="Arial" w:hAnsi="Arial" w:cs="Arial"/>
        </w:rPr>
        <w:t xml:space="preserve">The proportion of the 27,500 </w:t>
      </w:r>
      <w:proofErr w:type="spellStart"/>
      <w:r w:rsidRPr="00504456">
        <w:rPr>
          <w:rFonts w:ascii="Arial" w:hAnsi="Arial" w:cs="Arial"/>
        </w:rPr>
        <w:t>EGMs</w:t>
      </w:r>
      <w:proofErr w:type="spellEnd"/>
      <w:r w:rsidRPr="00504456">
        <w:rPr>
          <w:rFonts w:ascii="Arial" w:hAnsi="Arial" w:cs="Arial"/>
        </w:rPr>
        <w:t xml:space="preserve"> to be located outside the Melbourne Statistical Division is to be not less than 20 per cent</w:t>
      </w:r>
      <w:r w:rsidR="00A14868" w:rsidRPr="00504456">
        <w:rPr>
          <w:rFonts w:ascii="Arial" w:hAnsi="Arial" w:cs="Arial"/>
        </w:rPr>
        <w:t>.</w:t>
      </w:r>
      <w:r w:rsidR="00A14868" w:rsidRPr="00504456">
        <w:rPr>
          <w:rStyle w:val="FootnoteReference"/>
          <w:rFonts w:ascii="Arial" w:hAnsi="Arial" w:cs="Arial"/>
        </w:rPr>
        <w:footnoteReference w:id="24"/>
      </w:r>
    </w:p>
    <w:p w:rsidR="00A14868" w:rsidRPr="00504456" w:rsidRDefault="00A14868" w:rsidP="00A14868">
      <w:pPr>
        <w:rPr>
          <w:rFonts w:ascii="Arial" w:hAnsi="Arial" w:cs="Arial"/>
        </w:rPr>
      </w:pPr>
    </w:p>
    <w:p w:rsidR="00A14868" w:rsidRPr="00504456" w:rsidRDefault="00A14868" w:rsidP="00A14868">
      <w:pPr>
        <w:rPr>
          <w:rFonts w:ascii="Arial" w:hAnsi="Arial" w:cs="Arial"/>
          <w:color w:val="000000"/>
        </w:rPr>
      </w:pPr>
      <w:r w:rsidRPr="00504456">
        <w:rPr>
          <w:rFonts w:ascii="Arial" w:hAnsi="Arial" w:cs="Arial"/>
          <w:color w:val="000000"/>
        </w:rPr>
        <w:t xml:space="preserve">In August 2012, new </w:t>
      </w:r>
      <w:r w:rsidR="00822E50" w:rsidRPr="00504456">
        <w:rPr>
          <w:rFonts w:ascii="Arial" w:hAnsi="Arial" w:cs="Arial"/>
          <w:color w:val="000000"/>
        </w:rPr>
        <w:t>gaming</w:t>
      </w:r>
      <w:r w:rsidRPr="00504456">
        <w:rPr>
          <w:rFonts w:ascii="Arial" w:hAnsi="Arial" w:cs="Arial"/>
          <w:color w:val="000000"/>
        </w:rPr>
        <w:t xml:space="preserve"> </w:t>
      </w:r>
      <w:r w:rsidR="00F03287" w:rsidRPr="00504456">
        <w:rPr>
          <w:rFonts w:ascii="Arial" w:hAnsi="Arial" w:cs="Arial"/>
          <w:color w:val="000000"/>
        </w:rPr>
        <w:t>licensing</w:t>
      </w:r>
      <w:r w:rsidRPr="00504456">
        <w:rPr>
          <w:rFonts w:ascii="Arial" w:hAnsi="Arial" w:cs="Arial"/>
          <w:color w:val="000000"/>
        </w:rPr>
        <w:t xml:space="preserve"> arrangements came into operation in Victoria ending </w:t>
      </w:r>
      <w:proofErr w:type="spellStart"/>
      <w:r w:rsidRPr="00504456">
        <w:rPr>
          <w:rFonts w:ascii="Arial" w:hAnsi="Arial" w:cs="Arial"/>
          <w:color w:val="000000"/>
        </w:rPr>
        <w:t>Tabcorp's</w:t>
      </w:r>
      <w:proofErr w:type="spellEnd"/>
      <w:r w:rsidRPr="00504456">
        <w:rPr>
          <w:rFonts w:ascii="Arial" w:hAnsi="Arial" w:cs="Arial"/>
          <w:color w:val="000000"/>
        </w:rPr>
        <w:t xml:space="preserve"> and </w:t>
      </w:r>
      <w:proofErr w:type="spellStart"/>
      <w:r w:rsidRPr="00504456">
        <w:rPr>
          <w:rFonts w:ascii="Arial" w:hAnsi="Arial" w:cs="Arial"/>
          <w:color w:val="000000"/>
        </w:rPr>
        <w:t>Tattersalls</w:t>
      </w:r>
      <w:proofErr w:type="spellEnd"/>
      <w:r w:rsidRPr="00504456">
        <w:rPr>
          <w:rFonts w:ascii="Arial" w:hAnsi="Arial" w:cs="Arial"/>
          <w:color w:val="000000"/>
        </w:rPr>
        <w:t xml:space="preserve">' duopoly as Victorian gaming operators. Previously they had held 50 per cent each of non-casino gaming </w:t>
      </w:r>
      <w:proofErr w:type="spellStart"/>
      <w:r w:rsidRPr="00504456">
        <w:rPr>
          <w:rFonts w:ascii="Arial" w:hAnsi="Arial" w:cs="Arial"/>
          <w:color w:val="000000"/>
        </w:rPr>
        <w:t>licences</w:t>
      </w:r>
      <w:proofErr w:type="spellEnd"/>
      <w:r w:rsidRPr="00504456">
        <w:rPr>
          <w:rFonts w:ascii="Arial" w:hAnsi="Arial" w:cs="Arial"/>
          <w:color w:val="000000"/>
        </w:rPr>
        <w:t xml:space="preserve">. The new arrangements enable venue operators to purchase 10-year </w:t>
      </w:r>
      <w:proofErr w:type="spellStart"/>
      <w:r w:rsidRPr="00504456">
        <w:rPr>
          <w:rFonts w:ascii="Arial" w:hAnsi="Arial" w:cs="Arial"/>
          <w:color w:val="000000"/>
        </w:rPr>
        <w:t>EGM</w:t>
      </w:r>
      <w:proofErr w:type="spellEnd"/>
      <w:r w:rsidRPr="00504456">
        <w:rPr>
          <w:rFonts w:ascii="Arial" w:hAnsi="Arial" w:cs="Arial"/>
          <w:color w:val="000000"/>
        </w:rPr>
        <w:t xml:space="preserve"> entitlements</w:t>
      </w:r>
      <w:r w:rsidR="002A4FA1" w:rsidRPr="00504456">
        <w:rPr>
          <w:rFonts w:ascii="Arial" w:hAnsi="Arial" w:cs="Arial"/>
          <w:color w:val="000000"/>
        </w:rPr>
        <w:t>,</w:t>
      </w:r>
      <w:r w:rsidRPr="00504456">
        <w:rPr>
          <w:rFonts w:ascii="Arial" w:hAnsi="Arial" w:cs="Arial"/>
          <w:color w:val="000000"/>
        </w:rPr>
        <w:t xml:space="preserve"> which </w:t>
      </w:r>
      <w:proofErr w:type="spellStart"/>
      <w:r w:rsidRPr="00504456">
        <w:rPr>
          <w:rFonts w:ascii="Arial" w:hAnsi="Arial" w:cs="Arial"/>
          <w:color w:val="000000"/>
        </w:rPr>
        <w:t>authorise</w:t>
      </w:r>
      <w:proofErr w:type="spellEnd"/>
      <w:r w:rsidRPr="00504456">
        <w:rPr>
          <w:rFonts w:ascii="Arial" w:hAnsi="Arial" w:cs="Arial"/>
          <w:color w:val="000000"/>
        </w:rPr>
        <w:t xml:space="preserve"> </w:t>
      </w:r>
      <w:proofErr w:type="gramStart"/>
      <w:r w:rsidRPr="00504456">
        <w:rPr>
          <w:rFonts w:ascii="Arial" w:hAnsi="Arial" w:cs="Arial"/>
          <w:color w:val="000000"/>
        </w:rPr>
        <w:t>them</w:t>
      </w:r>
      <w:proofErr w:type="gramEnd"/>
      <w:r w:rsidRPr="00504456">
        <w:rPr>
          <w:rFonts w:ascii="Arial" w:hAnsi="Arial" w:cs="Arial"/>
          <w:color w:val="000000"/>
        </w:rPr>
        <w:t xml:space="preserve"> to own and operate </w:t>
      </w:r>
      <w:proofErr w:type="spellStart"/>
      <w:r w:rsidRPr="00504456">
        <w:rPr>
          <w:rFonts w:ascii="Arial" w:hAnsi="Arial" w:cs="Arial"/>
          <w:color w:val="000000"/>
        </w:rPr>
        <w:t>EGMs</w:t>
      </w:r>
      <w:proofErr w:type="spellEnd"/>
      <w:r w:rsidRPr="00504456">
        <w:rPr>
          <w:rFonts w:ascii="Arial" w:hAnsi="Arial" w:cs="Arial"/>
          <w:color w:val="000000"/>
        </w:rPr>
        <w:t xml:space="preserve"> at approved gaming venues. The venue operators now stand to receive a higher proportion of revenue from the </w:t>
      </w:r>
      <w:proofErr w:type="spellStart"/>
      <w:r w:rsidRPr="00504456">
        <w:rPr>
          <w:rFonts w:ascii="Arial" w:hAnsi="Arial" w:cs="Arial"/>
          <w:color w:val="000000"/>
        </w:rPr>
        <w:t>EGMs</w:t>
      </w:r>
      <w:proofErr w:type="spellEnd"/>
      <w:r w:rsidRPr="00504456">
        <w:rPr>
          <w:rFonts w:ascii="Arial" w:hAnsi="Arial" w:cs="Arial"/>
          <w:color w:val="000000"/>
        </w:rPr>
        <w:t xml:space="preserve"> they operate</w:t>
      </w:r>
      <w:r w:rsidR="006F351D" w:rsidRPr="00504456">
        <w:rPr>
          <w:rFonts w:ascii="Arial" w:hAnsi="Arial" w:cs="Arial"/>
          <w:color w:val="000000"/>
        </w:rPr>
        <w:t xml:space="preserve">, as the revenue will be split between the </w:t>
      </w:r>
      <w:r w:rsidR="006F351D" w:rsidRPr="00504456">
        <w:rPr>
          <w:rFonts w:ascii="Arial" w:hAnsi="Arial" w:cs="Arial"/>
          <w:color w:val="000000"/>
        </w:rPr>
        <w:lastRenderedPageBreak/>
        <w:t xml:space="preserve">venues and </w:t>
      </w:r>
      <w:r w:rsidR="004A6E7C" w:rsidRPr="00504456">
        <w:rPr>
          <w:rFonts w:ascii="Arial" w:hAnsi="Arial" w:cs="Arial"/>
          <w:color w:val="000000"/>
        </w:rPr>
        <w:t xml:space="preserve">the </w:t>
      </w:r>
      <w:r w:rsidR="006F351D" w:rsidRPr="00504456">
        <w:rPr>
          <w:rFonts w:ascii="Arial" w:hAnsi="Arial" w:cs="Arial"/>
          <w:color w:val="000000"/>
        </w:rPr>
        <w:t>government rather than being distributed between the gaming operators</w:t>
      </w:r>
      <w:r w:rsidR="00F768F4" w:rsidRPr="00504456">
        <w:rPr>
          <w:rFonts w:ascii="Arial" w:hAnsi="Arial" w:cs="Arial"/>
          <w:color w:val="000000"/>
        </w:rPr>
        <w:t xml:space="preserve"> (</w:t>
      </w:r>
      <w:proofErr w:type="spellStart"/>
      <w:r w:rsidR="00F768F4" w:rsidRPr="00504456">
        <w:rPr>
          <w:rFonts w:ascii="Arial" w:hAnsi="Arial" w:cs="Arial"/>
          <w:color w:val="000000"/>
        </w:rPr>
        <w:t>Tabcorp</w:t>
      </w:r>
      <w:proofErr w:type="spellEnd"/>
      <w:r w:rsidR="00F768F4" w:rsidRPr="00504456">
        <w:rPr>
          <w:rFonts w:ascii="Arial" w:hAnsi="Arial" w:cs="Arial"/>
          <w:color w:val="000000"/>
        </w:rPr>
        <w:t xml:space="preserve"> and </w:t>
      </w:r>
      <w:proofErr w:type="spellStart"/>
      <w:r w:rsidR="00F768F4" w:rsidRPr="00504456">
        <w:rPr>
          <w:rFonts w:ascii="Arial" w:hAnsi="Arial" w:cs="Arial"/>
          <w:color w:val="000000"/>
        </w:rPr>
        <w:t>Tattersalls</w:t>
      </w:r>
      <w:proofErr w:type="spellEnd"/>
      <w:r w:rsidR="00F768F4" w:rsidRPr="00504456">
        <w:rPr>
          <w:rFonts w:ascii="Arial" w:hAnsi="Arial" w:cs="Arial"/>
          <w:color w:val="000000"/>
        </w:rPr>
        <w:t>)</w:t>
      </w:r>
      <w:r w:rsidR="006F351D" w:rsidRPr="00504456">
        <w:rPr>
          <w:rFonts w:ascii="Arial" w:hAnsi="Arial" w:cs="Arial"/>
          <w:color w:val="000000"/>
        </w:rPr>
        <w:t xml:space="preserve">, </w:t>
      </w:r>
      <w:r w:rsidR="00F768F4" w:rsidRPr="00504456">
        <w:rPr>
          <w:rFonts w:ascii="Arial" w:hAnsi="Arial" w:cs="Arial"/>
          <w:color w:val="000000"/>
        </w:rPr>
        <w:t xml:space="preserve">the </w:t>
      </w:r>
      <w:r w:rsidR="006F351D" w:rsidRPr="00504456">
        <w:rPr>
          <w:rFonts w:ascii="Arial" w:hAnsi="Arial" w:cs="Arial"/>
          <w:color w:val="000000"/>
        </w:rPr>
        <w:t>venues and the government</w:t>
      </w:r>
      <w:r w:rsidRPr="00504456">
        <w:rPr>
          <w:rFonts w:ascii="Arial" w:hAnsi="Arial" w:cs="Arial"/>
          <w:color w:val="000000"/>
        </w:rPr>
        <w:t xml:space="preserve">. As </w:t>
      </w:r>
      <w:proofErr w:type="spellStart"/>
      <w:r w:rsidRPr="00504456">
        <w:rPr>
          <w:rFonts w:ascii="Arial" w:hAnsi="Arial" w:cs="Arial"/>
          <w:color w:val="000000"/>
        </w:rPr>
        <w:t>EGM</w:t>
      </w:r>
      <w:proofErr w:type="spellEnd"/>
      <w:r w:rsidRPr="00504456">
        <w:rPr>
          <w:rFonts w:ascii="Arial" w:hAnsi="Arial" w:cs="Arial"/>
          <w:color w:val="000000"/>
        </w:rPr>
        <w:t xml:space="preserve"> entitlements can be transferred between </w:t>
      </w:r>
      <w:proofErr w:type="spellStart"/>
      <w:r w:rsidRPr="00504456">
        <w:rPr>
          <w:rFonts w:ascii="Arial" w:hAnsi="Arial" w:cs="Arial"/>
          <w:color w:val="000000"/>
        </w:rPr>
        <w:t>licen</w:t>
      </w:r>
      <w:r w:rsidR="00E55F63" w:rsidRPr="00504456">
        <w:rPr>
          <w:rFonts w:ascii="Arial" w:hAnsi="Arial" w:cs="Arial"/>
          <w:color w:val="000000"/>
        </w:rPr>
        <w:t>c</w:t>
      </w:r>
      <w:r w:rsidRPr="00504456">
        <w:rPr>
          <w:rFonts w:ascii="Arial" w:hAnsi="Arial" w:cs="Arial"/>
          <w:color w:val="000000"/>
        </w:rPr>
        <w:t>ed</w:t>
      </w:r>
      <w:proofErr w:type="spellEnd"/>
      <w:r w:rsidRPr="00504456">
        <w:rPr>
          <w:rFonts w:ascii="Arial" w:hAnsi="Arial" w:cs="Arial"/>
          <w:color w:val="000000"/>
        </w:rPr>
        <w:t xml:space="preserve"> venue operators on the transfer market, which is regulated by the </w:t>
      </w:r>
      <w:proofErr w:type="spellStart"/>
      <w:r w:rsidRPr="00504456">
        <w:rPr>
          <w:rFonts w:ascii="Arial" w:hAnsi="Arial" w:cs="Arial"/>
          <w:color w:val="000000"/>
        </w:rPr>
        <w:t>VCGLR</w:t>
      </w:r>
      <w:proofErr w:type="spellEnd"/>
      <w:r w:rsidRPr="00504456">
        <w:rPr>
          <w:rFonts w:ascii="Arial" w:hAnsi="Arial" w:cs="Arial"/>
          <w:color w:val="000000"/>
        </w:rPr>
        <w:t xml:space="preserve">, there may be greater movement of </w:t>
      </w:r>
      <w:proofErr w:type="spellStart"/>
      <w:r w:rsidRPr="00504456">
        <w:rPr>
          <w:rFonts w:ascii="Arial" w:hAnsi="Arial" w:cs="Arial"/>
          <w:color w:val="000000"/>
        </w:rPr>
        <w:t>EGMs</w:t>
      </w:r>
      <w:proofErr w:type="spellEnd"/>
      <w:r w:rsidRPr="00504456">
        <w:rPr>
          <w:rFonts w:ascii="Arial" w:hAnsi="Arial" w:cs="Arial"/>
          <w:color w:val="000000"/>
        </w:rPr>
        <w:t xml:space="preserve"> between venues than there has been before.</w:t>
      </w:r>
      <w:r w:rsidRPr="00504456">
        <w:rPr>
          <w:rStyle w:val="FootnoteReference"/>
          <w:rFonts w:ascii="Arial" w:hAnsi="Arial" w:cs="Arial"/>
          <w:color w:val="000000"/>
        </w:rPr>
        <w:footnoteReference w:id="25"/>
      </w:r>
    </w:p>
    <w:p w:rsidR="00A14868" w:rsidRPr="00504456" w:rsidRDefault="00A14868" w:rsidP="00A14868">
      <w:pPr>
        <w:rPr>
          <w:rFonts w:ascii="Arial" w:hAnsi="Arial" w:cs="Arial"/>
          <w:color w:val="000000"/>
        </w:rPr>
      </w:pPr>
    </w:p>
    <w:p w:rsidR="00A14868" w:rsidRPr="00504456" w:rsidRDefault="00A14868" w:rsidP="00A14868">
      <w:pPr>
        <w:rPr>
          <w:rFonts w:ascii="Arial" w:hAnsi="Arial" w:cs="Arial"/>
          <w:color w:val="000000"/>
        </w:rPr>
      </w:pPr>
      <w:r w:rsidRPr="00504456">
        <w:rPr>
          <w:rFonts w:ascii="Arial" w:hAnsi="Arial" w:cs="Arial"/>
          <w:color w:val="000000"/>
        </w:rPr>
        <w:t xml:space="preserve">Other changes to </w:t>
      </w:r>
      <w:proofErr w:type="spellStart"/>
      <w:r w:rsidRPr="00504456">
        <w:rPr>
          <w:rFonts w:ascii="Arial" w:hAnsi="Arial" w:cs="Arial"/>
          <w:color w:val="000000"/>
        </w:rPr>
        <w:t>EGM</w:t>
      </w:r>
      <w:proofErr w:type="spellEnd"/>
      <w:r w:rsidRPr="00504456">
        <w:rPr>
          <w:rFonts w:ascii="Arial" w:hAnsi="Arial" w:cs="Arial"/>
          <w:color w:val="000000"/>
        </w:rPr>
        <w:t xml:space="preserve"> gambling in Victoria that came into effect in 2012 include:</w:t>
      </w:r>
    </w:p>
    <w:p w:rsidR="00D273C4" w:rsidRPr="00504456" w:rsidRDefault="00B555E4" w:rsidP="00036CC5">
      <w:pPr>
        <w:numPr>
          <w:ilvl w:val="0"/>
          <w:numId w:val="26"/>
        </w:numPr>
        <w:rPr>
          <w:rFonts w:ascii="Arial" w:hAnsi="Arial" w:cs="Arial"/>
          <w:color w:val="000000"/>
        </w:rPr>
      </w:pPr>
      <w:proofErr w:type="gramStart"/>
      <w:r w:rsidRPr="00504456">
        <w:rPr>
          <w:rFonts w:ascii="Arial" w:hAnsi="Arial" w:cs="Arial"/>
          <w:color w:val="000000"/>
        </w:rPr>
        <w:t>the</w:t>
      </w:r>
      <w:proofErr w:type="gramEnd"/>
      <w:r w:rsidRPr="00504456">
        <w:rPr>
          <w:rFonts w:ascii="Arial" w:hAnsi="Arial" w:cs="Arial"/>
          <w:color w:val="000000"/>
        </w:rPr>
        <w:t xml:space="preserve"> creation of a new regulatory body that combined the former Victorian Commission for Gambling Regulation (</w:t>
      </w:r>
      <w:proofErr w:type="spellStart"/>
      <w:r w:rsidRPr="00504456">
        <w:rPr>
          <w:rFonts w:ascii="Arial" w:hAnsi="Arial" w:cs="Arial"/>
          <w:color w:val="000000"/>
        </w:rPr>
        <w:t>VCGR</w:t>
      </w:r>
      <w:proofErr w:type="spellEnd"/>
      <w:r w:rsidRPr="00504456">
        <w:rPr>
          <w:rFonts w:ascii="Arial" w:hAnsi="Arial" w:cs="Arial"/>
          <w:color w:val="000000"/>
        </w:rPr>
        <w:t xml:space="preserve">) and Liquor Licensing Victoria. The new Commission, the </w:t>
      </w:r>
      <w:proofErr w:type="spellStart"/>
      <w:r w:rsidR="00D273C4" w:rsidRPr="00504456">
        <w:rPr>
          <w:rFonts w:ascii="Arial" w:hAnsi="Arial" w:cs="Arial"/>
          <w:color w:val="000000"/>
        </w:rPr>
        <w:t>VCGLR</w:t>
      </w:r>
      <w:proofErr w:type="spellEnd"/>
      <w:r w:rsidRPr="00504456">
        <w:rPr>
          <w:rFonts w:ascii="Arial" w:hAnsi="Arial" w:cs="Arial"/>
          <w:color w:val="000000"/>
        </w:rPr>
        <w:t>, commenced operation on 6 February 2012.</w:t>
      </w:r>
    </w:p>
    <w:p w:rsidR="00A14868" w:rsidRPr="00504456" w:rsidRDefault="00A14868" w:rsidP="00036CC5">
      <w:pPr>
        <w:numPr>
          <w:ilvl w:val="0"/>
          <w:numId w:val="26"/>
        </w:numPr>
        <w:rPr>
          <w:rFonts w:ascii="Arial" w:hAnsi="Arial" w:cs="Arial"/>
          <w:color w:val="000000"/>
        </w:rPr>
      </w:pPr>
      <w:r w:rsidRPr="00504456">
        <w:rPr>
          <w:rFonts w:ascii="Arial" w:hAnsi="Arial" w:cs="Arial"/>
          <w:color w:val="000000"/>
        </w:rPr>
        <w:t xml:space="preserve">the removal of ATMs from </w:t>
      </w:r>
      <w:proofErr w:type="spellStart"/>
      <w:r w:rsidRPr="00504456">
        <w:rPr>
          <w:rFonts w:ascii="Arial" w:hAnsi="Arial" w:cs="Arial"/>
          <w:color w:val="000000"/>
        </w:rPr>
        <w:t>EGM</w:t>
      </w:r>
      <w:proofErr w:type="spellEnd"/>
      <w:r w:rsidRPr="00504456">
        <w:rPr>
          <w:rFonts w:ascii="Arial" w:hAnsi="Arial" w:cs="Arial"/>
          <w:color w:val="000000"/>
        </w:rPr>
        <w:t xml:space="preserve"> venues, with </w:t>
      </w:r>
      <w:r w:rsidR="002A4FA1" w:rsidRPr="00504456">
        <w:rPr>
          <w:rFonts w:ascii="Arial" w:hAnsi="Arial" w:cs="Arial"/>
          <w:color w:val="000000"/>
        </w:rPr>
        <w:t xml:space="preserve">an </w:t>
      </w:r>
      <w:r w:rsidRPr="00504456">
        <w:rPr>
          <w:rFonts w:ascii="Arial" w:hAnsi="Arial" w:cs="Arial"/>
          <w:color w:val="000000"/>
        </w:rPr>
        <w:t>exemption allowed for venues in rural locations, where there are limited cash facilities</w:t>
      </w:r>
    </w:p>
    <w:p w:rsidR="00A14868" w:rsidRPr="00504456" w:rsidRDefault="00A14868" w:rsidP="00036CC5">
      <w:pPr>
        <w:numPr>
          <w:ilvl w:val="0"/>
          <w:numId w:val="26"/>
        </w:numPr>
        <w:rPr>
          <w:rFonts w:ascii="Arial" w:hAnsi="Arial" w:cs="Arial"/>
          <w:color w:val="000000"/>
        </w:rPr>
      </w:pPr>
      <w:proofErr w:type="gramStart"/>
      <w:r w:rsidRPr="00504456">
        <w:rPr>
          <w:rFonts w:ascii="Arial" w:hAnsi="Arial" w:cs="Arial"/>
          <w:color w:val="000000"/>
        </w:rPr>
        <w:t>the</w:t>
      </w:r>
      <w:proofErr w:type="gramEnd"/>
      <w:r w:rsidRPr="00504456">
        <w:rPr>
          <w:rFonts w:ascii="Arial" w:hAnsi="Arial" w:cs="Arial"/>
          <w:color w:val="000000"/>
        </w:rPr>
        <w:t xml:space="preserve"> establishment of a </w:t>
      </w:r>
      <w:r w:rsidR="00D273C4" w:rsidRPr="00504456">
        <w:rPr>
          <w:rFonts w:ascii="Arial" w:hAnsi="Arial" w:cs="Arial"/>
          <w:color w:val="000000"/>
        </w:rPr>
        <w:t xml:space="preserve">single, </w:t>
      </w:r>
      <w:r w:rsidRPr="00504456">
        <w:rPr>
          <w:rFonts w:ascii="Arial" w:hAnsi="Arial" w:cs="Arial"/>
          <w:color w:val="000000"/>
        </w:rPr>
        <w:t xml:space="preserve">independent </w:t>
      </w:r>
      <w:r w:rsidR="00D273C4" w:rsidRPr="00504456">
        <w:rPr>
          <w:rFonts w:ascii="Arial" w:hAnsi="Arial" w:cs="Arial"/>
          <w:color w:val="000000"/>
        </w:rPr>
        <w:t xml:space="preserve">monitoring licensee, </w:t>
      </w:r>
      <w:proofErr w:type="spellStart"/>
      <w:r w:rsidR="00D273C4" w:rsidRPr="00504456">
        <w:rPr>
          <w:rFonts w:ascii="Arial" w:hAnsi="Arial" w:cs="Arial"/>
          <w:color w:val="000000"/>
        </w:rPr>
        <w:t>Intralot</w:t>
      </w:r>
      <w:proofErr w:type="spellEnd"/>
      <w:r w:rsidR="00D273C4" w:rsidRPr="00504456">
        <w:rPr>
          <w:rFonts w:ascii="Arial" w:hAnsi="Arial" w:cs="Arial"/>
          <w:color w:val="000000"/>
        </w:rPr>
        <w:t xml:space="preserve"> Gaming Services Pty Ltd, to provide an electronic monitoring system that all </w:t>
      </w:r>
      <w:proofErr w:type="spellStart"/>
      <w:r w:rsidR="00D273C4" w:rsidRPr="00504456">
        <w:rPr>
          <w:rFonts w:ascii="Arial" w:hAnsi="Arial" w:cs="Arial"/>
          <w:color w:val="000000"/>
        </w:rPr>
        <w:t>EGMs</w:t>
      </w:r>
      <w:proofErr w:type="spellEnd"/>
      <w:r w:rsidR="00D273C4" w:rsidRPr="00504456">
        <w:rPr>
          <w:rFonts w:ascii="Arial" w:hAnsi="Arial" w:cs="Arial"/>
          <w:color w:val="000000"/>
        </w:rPr>
        <w:t xml:space="preserve"> in Victoria must be connected to</w:t>
      </w:r>
      <w:r w:rsidRPr="00504456">
        <w:rPr>
          <w:rFonts w:ascii="Arial" w:hAnsi="Arial" w:cs="Arial"/>
          <w:color w:val="000000"/>
        </w:rPr>
        <w:t>.</w:t>
      </w:r>
    </w:p>
    <w:p w:rsidR="00A14868" w:rsidRPr="00504456" w:rsidRDefault="00A14868" w:rsidP="00A14868">
      <w:pPr>
        <w:rPr>
          <w:rFonts w:ascii="Arial" w:hAnsi="Arial" w:cs="Arial"/>
          <w:color w:val="000000"/>
        </w:rPr>
      </w:pPr>
    </w:p>
    <w:p w:rsidR="00A14868" w:rsidRPr="00504456" w:rsidRDefault="004D35F0" w:rsidP="00A14868">
      <w:pPr>
        <w:rPr>
          <w:rFonts w:ascii="Arial" w:hAnsi="Arial" w:cs="Arial"/>
          <w:color w:val="000000"/>
        </w:rPr>
      </w:pPr>
      <w:r w:rsidRPr="00504456">
        <w:rPr>
          <w:rFonts w:ascii="Arial" w:hAnsi="Arial" w:cs="Arial"/>
          <w:color w:val="000000"/>
        </w:rPr>
        <w:t>As noted above, t</w:t>
      </w:r>
      <w:r w:rsidR="00A14868" w:rsidRPr="00504456">
        <w:rPr>
          <w:rFonts w:ascii="Arial" w:hAnsi="Arial" w:cs="Arial"/>
          <w:color w:val="000000"/>
        </w:rPr>
        <w:t xml:space="preserve">he Victorian Government has also committed to implementing voluntary pre-commitment on all </w:t>
      </w:r>
      <w:proofErr w:type="spellStart"/>
      <w:r w:rsidR="00A14868" w:rsidRPr="00504456">
        <w:rPr>
          <w:rFonts w:ascii="Arial" w:hAnsi="Arial" w:cs="Arial"/>
          <w:color w:val="000000"/>
        </w:rPr>
        <w:t>EGMs</w:t>
      </w:r>
      <w:proofErr w:type="spellEnd"/>
      <w:r w:rsidR="00A14868" w:rsidRPr="00504456">
        <w:rPr>
          <w:rFonts w:ascii="Arial" w:hAnsi="Arial" w:cs="Arial"/>
          <w:color w:val="000000"/>
        </w:rPr>
        <w:t xml:space="preserve"> by 2016.</w:t>
      </w:r>
      <w:r w:rsidR="00A14868" w:rsidRPr="00504456">
        <w:rPr>
          <w:rStyle w:val="FootnoteReference"/>
          <w:rFonts w:ascii="Arial" w:hAnsi="Arial" w:cs="Arial"/>
          <w:color w:val="000000"/>
        </w:rPr>
        <w:footnoteReference w:id="26"/>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In June 2012, there were 26,778 </w:t>
      </w:r>
      <w:proofErr w:type="spellStart"/>
      <w:r w:rsidRPr="00504456">
        <w:rPr>
          <w:rFonts w:ascii="Arial" w:hAnsi="Arial" w:cs="Arial"/>
        </w:rPr>
        <w:t>EGMs</w:t>
      </w:r>
      <w:proofErr w:type="spellEnd"/>
      <w:r w:rsidRPr="00504456">
        <w:rPr>
          <w:rFonts w:ascii="Arial" w:hAnsi="Arial" w:cs="Arial"/>
        </w:rPr>
        <w:t xml:space="preserve"> located in 509 clubs and hotels in Victoria (excluding Crown Casino). The amount lost on these </w:t>
      </w:r>
      <w:proofErr w:type="spellStart"/>
      <w:r w:rsidRPr="00504456">
        <w:rPr>
          <w:rFonts w:ascii="Arial" w:hAnsi="Arial" w:cs="Arial"/>
        </w:rPr>
        <w:t>EGMs</w:t>
      </w:r>
      <w:proofErr w:type="spellEnd"/>
      <w:r w:rsidRPr="00504456">
        <w:rPr>
          <w:rFonts w:ascii="Arial" w:hAnsi="Arial" w:cs="Arial"/>
        </w:rPr>
        <w:t xml:space="preserve"> </w:t>
      </w:r>
      <w:r w:rsidR="002A4FA1" w:rsidRPr="00504456">
        <w:rPr>
          <w:rFonts w:ascii="Arial" w:hAnsi="Arial" w:cs="Arial"/>
        </w:rPr>
        <w:t>state-wide</w:t>
      </w:r>
      <w:r w:rsidRPr="00504456">
        <w:rPr>
          <w:rFonts w:ascii="Arial" w:hAnsi="Arial" w:cs="Arial"/>
        </w:rPr>
        <w:t xml:space="preserve"> in 2011-12 was approximately $2.68 billion. The total number of </w:t>
      </w:r>
      <w:proofErr w:type="spellStart"/>
      <w:r w:rsidRPr="00504456">
        <w:rPr>
          <w:rFonts w:ascii="Arial" w:hAnsi="Arial" w:cs="Arial"/>
        </w:rPr>
        <w:t>EGMs</w:t>
      </w:r>
      <w:proofErr w:type="spellEnd"/>
      <w:r w:rsidRPr="00504456">
        <w:rPr>
          <w:rFonts w:ascii="Arial" w:hAnsi="Arial" w:cs="Arial"/>
        </w:rPr>
        <w:t xml:space="preserve"> per 1,000 adults in Victoria is 6.0 and the average loss per adult was $602 in 2011-12.</w:t>
      </w:r>
      <w:r w:rsidRPr="00504456">
        <w:rPr>
          <w:rStyle w:val="FootnoteReference"/>
          <w:rFonts w:ascii="Arial" w:hAnsi="Arial" w:cs="Arial"/>
        </w:rPr>
        <w:footnoteReference w:id="27"/>
      </w:r>
    </w:p>
    <w:p w:rsidR="00A14868" w:rsidRPr="00504456" w:rsidRDefault="00BF74CC" w:rsidP="00A14868">
      <w:pPr>
        <w:pStyle w:val="Heading3"/>
        <w:rPr>
          <w:rFonts w:ascii="HelveticaNeueLTStd-Roman" w:hAnsi="HelveticaNeueLTStd-Roman" w:cs="HelveticaNeueLTStd-Roman"/>
          <w:sz w:val="24"/>
          <w:szCs w:val="24"/>
        </w:rPr>
      </w:pPr>
      <w:bookmarkStart w:id="11" w:name="_Toc372787026"/>
      <w:proofErr w:type="spellStart"/>
      <w:r w:rsidRPr="00504456">
        <w:rPr>
          <w:sz w:val="24"/>
          <w:szCs w:val="24"/>
        </w:rPr>
        <w:t>EGMs</w:t>
      </w:r>
      <w:proofErr w:type="spellEnd"/>
      <w:r w:rsidRPr="00504456">
        <w:rPr>
          <w:sz w:val="24"/>
          <w:szCs w:val="24"/>
        </w:rPr>
        <w:t xml:space="preserve"> in the City of Boroondara</w:t>
      </w:r>
      <w:bookmarkEnd w:id="11"/>
    </w:p>
    <w:p w:rsidR="00A14868" w:rsidRPr="00504456" w:rsidRDefault="00A14868" w:rsidP="00A14868">
      <w:pPr>
        <w:pStyle w:val="BodyText"/>
        <w:spacing w:after="0" w:line="240" w:lineRule="auto"/>
        <w:rPr>
          <w:rFonts w:cs="Arial"/>
          <w:sz w:val="24"/>
        </w:rPr>
      </w:pPr>
      <w:r w:rsidRPr="00504456">
        <w:rPr>
          <w:rFonts w:cs="Arial"/>
          <w:sz w:val="24"/>
        </w:rPr>
        <w:t>In 2013, the Cit</w:t>
      </w:r>
      <w:r w:rsidR="00416B82" w:rsidRPr="00504456">
        <w:rPr>
          <w:rFonts w:cs="Arial"/>
          <w:sz w:val="24"/>
        </w:rPr>
        <w:t>y of Boroondara has</w:t>
      </w:r>
      <w:r w:rsidRPr="00504456">
        <w:rPr>
          <w:rFonts w:cs="Arial"/>
          <w:sz w:val="24"/>
        </w:rPr>
        <w:t xml:space="preserve"> five </w:t>
      </w:r>
      <w:proofErr w:type="spellStart"/>
      <w:r w:rsidRPr="00504456">
        <w:rPr>
          <w:rFonts w:cs="Arial"/>
          <w:sz w:val="24"/>
        </w:rPr>
        <w:t>EGM</w:t>
      </w:r>
      <w:proofErr w:type="spellEnd"/>
      <w:r w:rsidRPr="00504456">
        <w:rPr>
          <w:rFonts w:cs="Arial"/>
          <w:sz w:val="24"/>
        </w:rPr>
        <w:t xml:space="preserve"> venues, four hotel venues and one club venue, operating a total of </w:t>
      </w:r>
      <w:r w:rsidR="00416B82" w:rsidRPr="00504456">
        <w:rPr>
          <w:rFonts w:cs="Arial"/>
          <w:sz w:val="24"/>
        </w:rPr>
        <w:t>205</w:t>
      </w:r>
      <w:r w:rsidRPr="00504456">
        <w:rPr>
          <w:rFonts w:cs="Arial"/>
          <w:sz w:val="24"/>
        </w:rPr>
        <w:t xml:space="preserve"> </w:t>
      </w:r>
      <w:proofErr w:type="spellStart"/>
      <w:r w:rsidRPr="00504456">
        <w:rPr>
          <w:rFonts w:cs="Arial"/>
          <w:sz w:val="24"/>
        </w:rPr>
        <w:t>EGMs</w:t>
      </w:r>
      <w:proofErr w:type="spellEnd"/>
      <w:r w:rsidRPr="00504456">
        <w:rPr>
          <w:rFonts w:cs="Arial"/>
          <w:sz w:val="24"/>
        </w:rPr>
        <w:t xml:space="preserve"> (the maximum number permissible is 1,295). </w:t>
      </w:r>
      <w:r w:rsidR="00DF50F4" w:rsidRPr="00504456">
        <w:rPr>
          <w:rFonts w:cs="Arial"/>
          <w:sz w:val="24"/>
        </w:rPr>
        <w:t xml:space="preserve">Due to the former Camberwell Council area being a 'dry zone' with no licensed hotels or clubs, the current venues are concentrated in the </w:t>
      </w:r>
      <w:r w:rsidR="007F3038" w:rsidRPr="00504456">
        <w:rPr>
          <w:rFonts w:cs="Arial"/>
          <w:sz w:val="24"/>
        </w:rPr>
        <w:t>former Cities of H</w:t>
      </w:r>
      <w:r w:rsidR="00DF50F4" w:rsidRPr="00504456">
        <w:rPr>
          <w:rFonts w:cs="Arial"/>
          <w:sz w:val="24"/>
        </w:rPr>
        <w:t xml:space="preserve">awthorn and Kew thus creating a density in one part of the municipality. </w:t>
      </w:r>
      <w:r w:rsidRPr="00504456">
        <w:rPr>
          <w:rFonts w:cs="Arial"/>
          <w:sz w:val="24"/>
        </w:rPr>
        <w:t xml:space="preserve">The amount lost on all </w:t>
      </w:r>
      <w:proofErr w:type="spellStart"/>
      <w:r w:rsidRPr="00504456">
        <w:rPr>
          <w:rFonts w:cs="Arial"/>
          <w:sz w:val="24"/>
        </w:rPr>
        <w:t>EGMs</w:t>
      </w:r>
      <w:proofErr w:type="spellEnd"/>
      <w:r w:rsidRPr="00504456">
        <w:rPr>
          <w:rFonts w:cs="Arial"/>
          <w:sz w:val="24"/>
        </w:rPr>
        <w:t xml:space="preserve"> in the municipality in 201</w:t>
      </w:r>
      <w:r w:rsidR="00705BB8" w:rsidRPr="00504456">
        <w:rPr>
          <w:rFonts w:cs="Arial"/>
          <w:sz w:val="24"/>
        </w:rPr>
        <w:t>2</w:t>
      </w:r>
      <w:r w:rsidRPr="00504456">
        <w:rPr>
          <w:rFonts w:cs="Arial"/>
          <w:sz w:val="24"/>
        </w:rPr>
        <w:t>-1</w:t>
      </w:r>
      <w:r w:rsidR="00705BB8" w:rsidRPr="00504456">
        <w:rPr>
          <w:rFonts w:cs="Arial"/>
          <w:sz w:val="24"/>
        </w:rPr>
        <w:t>3</w:t>
      </w:r>
      <w:r w:rsidRPr="00504456">
        <w:rPr>
          <w:rFonts w:cs="Arial"/>
          <w:sz w:val="24"/>
        </w:rPr>
        <w:t xml:space="preserve"> was $</w:t>
      </w:r>
      <w:r w:rsidR="00705BB8" w:rsidRPr="00504456">
        <w:rPr>
          <w:rFonts w:cs="Arial"/>
          <w:sz w:val="24"/>
        </w:rPr>
        <w:t>19.1</w:t>
      </w:r>
      <w:r w:rsidRPr="00504456">
        <w:rPr>
          <w:rFonts w:cs="Arial"/>
          <w:sz w:val="24"/>
        </w:rPr>
        <w:t xml:space="preserve"> mil</w:t>
      </w:r>
      <w:r w:rsidR="00705BB8" w:rsidRPr="00504456">
        <w:rPr>
          <w:rFonts w:cs="Arial"/>
          <w:sz w:val="24"/>
        </w:rPr>
        <w:t>lion. This is approximately $141</w:t>
      </w:r>
      <w:r w:rsidRPr="00504456">
        <w:rPr>
          <w:rFonts w:cs="Arial"/>
          <w:sz w:val="24"/>
        </w:rPr>
        <w:t xml:space="preserve"> per adult resident, which is lower </w:t>
      </w:r>
      <w:r w:rsidR="00705BB8" w:rsidRPr="00504456">
        <w:rPr>
          <w:rFonts w:cs="Arial"/>
          <w:sz w:val="24"/>
        </w:rPr>
        <w:t>than the Victorian average ($601</w:t>
      </w:r>
      <w:r w:rsidRPr="00504456">
        <w:rPr>
          <w:rFonts w:cs="Arial"/>
          <w:sz w:val="24"/>
        </w:rPr>
        <w:t xml:space="preserve">). The total number of </w:t>
      </w:r>
      <w:proofErr w:type="spellStart"/>
      <w:r w:rsidRPr="00504456">
        <w:rPr>
          <w:rFonts w:cs="Arial"/>
          <w:sz w:val="24"/>
        </w:rPr>
        <w:t>EGMs</w:t>
      </w:r>
      <w:proofErr w:type="spellEnd"/>
      <w:r w:rsidRPr="00504456">
        <w:rPr>
          <w:rFonts w:cs="Arial"/>
          <w:sz w:val="24"/>
        </w:rPr>
        <w:t xml:space="preserve"> per 1,000 adults in the City of Boroondara is 1.51, which is also lower than the Victorian average (6.0).</w:t>
      </w:r>
    </w:p>
    <w:p w:rsidR="00A14868" w:rsidRPr="00504456" w:rsidRDefault="00A14868" w:rsidP="00A14868">
      <w:pPr>
        <w:rPr>
          <w:rFonts w:ascii="Arial" w:hAnsi="Arial" w:cs="Arial"/>
        </w:rPr>
      </w:pPr>
    </w:p>
    <w:tbl>
      <w:tblPr>
        <w:tblW w:w="0" w:type="auto"/>
        <w:tblCellSpacing w:w="15" w:type="dxa"/>
        <w:tblInd w:w="853" w:type="dxa"/>
        <w:tblCellMar>
          <w:top w:w="15" w:type="dxa"/>
          <w:left w:w="15" w:type="dxa"/>
          <w:bottom w:w="15" w:type="dxa"/>
          <w:right w:w="15" w:type="dxa"/>
        </w:tblCellMar>
        <w:tblLook w:val="04A0" w:firstRow="1" w:lastRow="0" w:firstColumn="1" w:lastColumn="0" w:noHBand="0" w:noVBand="1"/>
      </w:tblPr>
      <w:tblGrid>
        <w:gridCol w:w="7710"/>
      </w:tblGrid>
      <w:tr w:rsidR="00A14868" w:rsidRPr="00504456" w:rsidTr="00F03287">
        <w:trPr>
          <w:tblCellSpacing w:w="15" w:type="dxa"/>
        </w:trPr>
        <w:tc>
          <w:tcPr>
            <w:tcW w:w="7650" w:type="dxa"/>
            <w:hideMark/>
          </w:tcPr>
          <w:p w:rsidR="00A14868" w:rsidRPr="00504456" w:rsidRDefault="00122B3F" w:rsidP="00F03287">
            <w:pPr>
              <w:jc w:val="center"/>
              <w:rPr>
                <w:color w:val="000000"/>
                <w:lang w:val="en-AU" w:eastAsia="en-AU"/>
              </w:rPr>
            </w:pPr>
            <w:r>
              <w:rPr>
                <w:rFonts w:ascii="Arial" w:hAnsi="Arial" w:cs="Arial"/>
                <w:noProof/>
                <w:lang w:val="en-AU"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3235325</wp:posOffset>
                      </wp:positionV>
                      <wp:extent cx="1798320" cy="877570"/>
                      <wp:effectExtent l="0" t="0" r="11430" b="1778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877570"/>
                              </a:xfrm>
                              <a:prstGeom prst="rect">
                                <a:avLst/>
                              </a:prstGeom>
                              <a:solidFill>
                                <a:srgbClr val="FFFFFF"/>
                              </a:solidFill>
                              <a:ln w="9525">
                                <a:solidFill>
                                  <a:srgbClr val="FFFFFF"/>
                                </a:solidFill>
                                <a:miter lim="800000"/>
                                <a:headEnd/>
                                <a:tailEnd/>
                              </a:ln>
                            </wps:spPr>
                            <wps:txbx>
                              <w:txbxContent>
                                <w:p w:rsidR="00E43565" w:rsidRDefault="00E43565" w:rsidP="00A14868">
                                  <w:pPr>
                                    <w:rPr>
                                      <w:rFonts w:ascii="Arial" w:hAnsi="Arial" w:cs="Arial"/>
                                      <w:b/>
                                      <w:sz w:val="20"/>
                                      <w:szCs w:val="20"/>
                                    </w:rPr>
                                  </w:pPr>
                                  <w:r w:rsidRPr="00104A39">
                                    <w:rPr>
                                      <w:rFonts w:ascii="Arial" w:hAnsi="Arial" w:cs="Arial"/>
                                      <w:b/>
                                      <w:sz w:val="20"/>
                                      <w:szCs w:val="20"/>
                                    </w:rPr>
                                    <w:t xml:space="preserve">1 - </w:t>
                                  </w:r>
                                  <w:r>
                                    <w:rPr>
                                      <w:rFonts w:ascii="Arial" w:hAnsi="Arial" w:cs="Arial"/>
                                      <w:b/>
                                      <w:sz w:val="20"/>
                                      <w:szCs w:val="20"/>
                                    </w:rPr>
                                    <w:t>Club Hawthorn</w:t>
                                  </w:r>
                                </w:p>
                                <w:p w:rsidR="00E43565" w:rsidRDefault="00E43565" w:rsidP="00A14868">
                                  <w:pPr>
                                    <w:rPr>
                                      <w:rFonts w:ascii="Arial" w:hAnsi="Arial" w:cs="Arial"/>
                                      <w:b/>
                                      <w:sz w:val="20"/>
                                      <w:szCs w:val="20"/>
                                    </w:rPr>
                                  </w:pPr>
                                  <w:r>
                                    <w:rPr>
                                      <w:rFonts w:ascii="Arial" w:hAnsi="Arial" w:cs="Arial"/>
                                      <w:b/>
                                      <w:sz w:val="20"/>
                                      <w:szCs w:val="20"/>
                                    </w:rPr>
                                    <w:t>2 - Harp of Erin Hotel</w:t>
                                  </w:r>
                                </w:p>
                                <w:p w:rsidR="00E43565" w:rsidRDefault="00E43565" w:rsidP="00A14868">
                                  <w:pPr>
                                    <w:rPr>
                                      <w:rFonts w:ascii="Arial" w:hAnsi="Arial" w:cs="Arial"/>
                                      <w:b/>
                                      <w:sz w:val="20"/>
                                      <w:szCs w:val="20"/>
                                    </w:rPr>
                                  </w:pPr>
                                  <w:r>
                                    <w:rPr>
                                      <w:rFonts w:ascii="Arial" w:hAnsi="Arial" w:cs="Arial"/>
                                      <w:b/>
                                      <w:sz w:val="20"/>
                                      <w:szCs w:val="20"/>
                                    </w:rPr>
                                    <w:t>3 - Palace Hotel</w:t>
                                  </w:r>
                                </w:p>
                                <w:p w:rsidR="00E43565" w:rsidRDefault="00E43565" w:rsidP="00A14868">
                                  <w:pPr>
                                    <w:rPr>
                                      <w:rFonts w:ascii="Arial" w:hAnsi="Arial" w:cs="Arial"/>
                                      <w:b/>
                                      <w:sz w:val="20"/>
                                      <w:szCs w:val="20"/>
                                    </w:rPr>
                                  </w:pPr>
                                  <w:r>
                                    <w:rPr>
                                      <w:rFonts w:ascii="Arial" w:hAnsi="Arial" w:cs="Arial"/>
                                      <w:b/>
                                      <w:sz w:val="20"/>
                                      <w:szCs w:val="20"/>
                                    </w:rPr>
                                    <w:t>4 - Riversdale Hotel</w:t>
                                  </w:r>
                                </w:p>
                                <w:p w:rsidR="00E43565" w:rsidRPr="00104A39" w:rsidRDefault="00E43565" w:rsidP="00A14868">
                                  <w:pPr>
                                    <w:rPr>
                                      <w:rFonts w:ascii="Arial" w:hAnsi="Arial" w:cs="Arial"/>
                                      <w:b/>
                                      <w:sz w:val="20"/>
                                      <w:szCs w:val="20"/>
                                    </w:rPr>
                                  </w:pPr>
                                  <w:r>
                                    <w:rPr>
                                      <w:rFonts w:ascii="Arial" w:hAnsi="Arial" w:cs="Arial"/>
                                      <w:b/>
                                      <w:sz w:val="20"/>
                                      <w:szCs w:val="20"/>
                                    </w:rPr>
                                    <w:t>5 - Tower Hotel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7.95pt;margin-top:254.75pt;width:141.6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" strokecolor="white">
                      <v:textbox>
                        <w:txbxContent>
                          <w:p w:rsidR="00E43565" w:rsidRDefault="00E43565" w:rsidP="00A14868">
                            <w:pPr>
                              <w:rPr>
                                <w:rFonts w:ascii="Arial" w:hAnsi="Arial" w:cs="Arial"/>
                                <w:b/>
                                <w:sz w:val="20"/>
                                <w:szCs w:val="20"/>
                              </w:rPr>
                            </w:pPr>
                            <w:r w:rsidRPr="00104A39">
                              <w:rPr>
                                <w:rFonts w:ascii="Arial" w:hAnsi="Arial" w:cs="Arial"/>
                                <w:b/>
                                <w:sz w:val="20"/>
                                <w:szCs w:val="20"/>
                              </w:rPr>
                              <w:t xml:space="preserve">1 - </w:t>
                            </w:r>
                            <w:r>
                              <w:rPr>
                                <w:rFonts w:ascii="Arial" w:hAnsi="Arial" w:cs="Arial"/>
                                <w:b/>
                                <w:sz w:val="20"/>
                                <w:szCs w:val="20"/>
                              </w:rPr>
                              <w:t>Club Hawthorn</w:t>
                            </w:r>
                          </w:p>
                          <w:p w:rsidR="00E43565" w:rsidRDefault="00E43565" w:rsidP="00A14868">
                            <w:pPr>
                              <w:rPr>
                                <w:rFonts w:ascii="Arial" w:hAnsi="Arial" w:cs="Arial"/>
                                <w:b/>
                                <w:sz w:val="20"/>
                                <w:szCs w:val="20"/>
                              </w:rPr>
                            </w:pPr>
                            <w:r>
                              <w:rPr>
                                <w:rFonts w:ascii="Arial" w:hAnsi="Arial" w:cs="Arial"/>
                                <w:b/>
                                <w:sz w:val="20"/>
                                <w:szCs w:val="20"/>
                              </w:rPr>
                              <w:t>2 - Harp of Erin Hotel</w:t>
                            </w:r>
                          </w:p>
                          <w:p w:rsidR="00E43565" w:rsidRDefault="00E43565" w:rsidP="00A14868">
                            <w:pPr>
                              <w:rPr>
                                <w:rFonts w:ascii="Arial" w:hAnsi="Arial" w:cs="Arial"/>
                                <w:b/>
                                <w:sz w:val="20"/>
                                <w:szCs w:val="20"/>
                              </w:rPr>
                            </w:pPr>
                            <w:r>
                              <w:rPr>
                                <w:rFonts w:ascii="Arial" w:hAnsi="Arial" w:cs="Arial"/>
                                <w:b/>
                                <w:sz w:val="20"/>
                                <w:szCs w:val="20"/>
                              </w:rPr>
                              <w:t>3 - Palace Hotel</w:t>
                            </w:r>
                          </w:p>
                          <w:p w:rsidR="00E43565" w:rsidRDefault="00E43565" w:rsidP="00A14868">
                            <w:pPr>
                              <w:rPr>
                                <w:rFonts w:ascii="Arial" w:hAnsi="Arial" w:cs="Arial"/>
                                <w:b/>
                                <w:sz w:val="20"/>
                                <w:szCs w:val="20"/>
                              </w:rPr>
                            </w:pPr>
                            <w:r>
                              <w:rPr>
                                <w:rFonts w:ascii="Arial" w:hAnsi="Arial" w:cs="Arial"/>
                                <w:b/>
                                <w:sz w:val="20"/>
                                <w:szCs w:val="20"/>
                              </w:rPr>
                              <w:t>4 - Riversdale Hotel</w:t>
                            </w:r>
                          </w:p>
                          <w:p w:rsidR="00E43565" w:rsidRPr="00104A39" w:rsidRDefault="00E43565" w:rsidP="00A14868">
                            <w:pPr>
                              <w:rPr>
                                <w:rFonts w:ascii="Arial" w:hAnsi="Arial" w:cs="Arial"/>
                                <w:b/>
                                <w:sz w:val="20"/>
                                <w:szCs w:val="20"/>
                              </w:rPr>
                            </w:pPr>
                            <w:r>
                              <w:rPr>
                                <w:rFonts w:ascii="Arial" w:hAnsi="Arial" w:cs="Arial"/>
                                <w:b/>
                                <w:sz w:val="20"/>
                                <w:szCs w:val="20"/>
                              </w:rPr>
                              <w:t>5 - Tower Hotel</w:t>
                            </w:r>
                          </w:p>
                        </w:txbxContent>
                      </v:textbox>
                    </v:shape>
                  </w:pict>
                </mc:Fallback>
              </mc:AlternateContent>
            </w:r>
            <w:r w:rsidR="00A14868" w:rsidRPr="00504456">
              <w:rPr>
                <w:noProof/>
                <w:color w:val="000000"/>
                <w:lang w:val="en-AU" w:eastAsia="en-AU"/>
              </w:rPr>
              <w:drawing>
                <wp:inline distT="0" distB="0" distL="0" distR="0">
                  <wp:extent cx="4604385" cy="4223385"/>
                  <wp:effectExtent l="19050" t="19050" r="24765" b="24765"/>
                  <wp:docPr id="2" name="Picture 2" descr="Boroondar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ondara C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4385" cy="4223385"/>
                          </a:xfrm>
                          <a:prstGeom prst="rect">
                            <a:avLst/>
                          </a:prstGeom>
                          <a:noFill/>
                          <a:ln w="12700" cmpd="sng">
                            <a:solidFill>
                              <a:srgbClr val="000000"/>
                            </a:solidFill>
                            <a:miter lim="800000"/>
                            <a:headEnd/>
                            <a:tailEnd/>
                          </a:ln>
                          <a:effectLst/>
                        </pic:spPr>
                      </pic:pic>
                    </a:graphicData>
                  </a:graphic>
                </wp:inline>
              </w:drawing>
            </w:r>
          </w:p>
        </w:tc>
      </w:tr>
    </w:tbl>
    <w:p w:rsidR="00A14868" w:rsidRPr="00504456" w:rsidRDefault="00A14868" w:rsidP="00A14868">
      <w:pPr>
        <w:rPr>
          <w:rFonts w:ascii="Arial" w:hAnsi="Arial" w:cs="Arial"/>
          <w:b/>
        </w:rPr>
      </w:pPr>
      <w:r w:rsidRPr="00504456">
        <w:rPr>
          <w:rFonts w:ascii="Arial" w:hAnsi="Arial" w:cs="Arial"/>
          <w:b/>
        </w:rPr>
        <w:t xml:space="preserve">Figure 1: </w:t>
      </w:r>
      <w:proofErr w:type="spellStart"/>
      <w:r w:rsidRPr="00504456">
        <w:rPr>
          <w:rFonts w:ascii="Arial" w:hAnsi="Arial" w:cs="Arial"/>
          <w:b/>
        </w:rPr>
        <w:t>EGM</w:t>
      </w:r>
      <w:proofErr w:type="spellEnd"/>
      <w:r w:rsidRPr="00504456">
        <w:rPr>
          <w:rFonts w:ascii="Arial" w:hAnsi="Arial" w:cs="Arial"/>
          <w:b/>
        </w:rPr>
        <w:t xml:space="preserve"> venues in the City of Boroondara, March 2013</w:t>
      </w:r>
      <w:r w:rsidRPr="00504456">
        <w:rPr>
          <w:rStyle w:val="FootnoteReference"/>
          <w:rFonts w:ascii="Arial" w:hAnsi="Arial" w:cs="Arial"/>
          <w:b/>
        </w:rPr>
        <w:footnoteReference w:id="28"/>
      </w:r>
    </w:p>
    <w:p w:rsidR="00A14868" w:rsidRPr="00504456" w:rsidRDefault="00A14868" w:rsidP="00A14868">
      <w:pPr>
        <w:rPr>
          <w:rFonts w:ascii="Arial" w:hAnsi="Arial" w:cs="Arial"/>
        </w:rPr>
      </w:pPr>
    </w:p>
    <w:p w:rsidR="00A14868" w:rsidRPr="00504456" w:rsidRDefault="00A14868" w:rsidP="00A14868">
      <w:pPr>
        <w:rPr>
          <w:rFonts w:ascii="Arial" w:hAnsi="Arial" w:cs="Arial"/>
          <w:color w:val="000000"/>
        </w:rPr>
      </w:pPr>
      <w:r w:rsidRPr="00504456">
        <w:rPr>
          <w:rFonts w:ascii="Arial" w:hAnsi="Arial" w:cs="Arial"/>
        </w:rPr>
        <w:t xml:space="preserve">In </w:t>
      </w:r>
      <w:r w:rsidR="002B7650" w:rsidRPr="00504456">
        <w:rPr>
          <w:rFonts w:ascii="Arial" w:hAnsi="Arial" w:cs="Arial"/>
        </w:rPr>
        <w:t>2012-13</w:t>
      </w:r>
      <w:r w:rsidRPr="00504456">
        <w:rPr>
          <w:rFonts w:ascii="Arial" w:hAnsi="Arial" w:cs="Arial"/>
        </w:rPr>
        <w:t xml:space="preserve">, the City of Boroondara was ranked 37 of the 79 Victorian Local Government Areas for spending on </w:t>
      </w:r>
      <w:proofErr w:type="spellStart"/>
      <w:r w:rsidRPr="00504456">
        <w:rPr>
          <w:rFonts w:ascii="Arial" w:hAnsi="Arial" w:cs="Arial"/>
        </w:rPr>
        <w:t>EGMs</w:t>
      </w:r>
      <w:proofErr w:type="spellEnd"/>
      <w:r w:rsidRPr="00504456">
        <w:rPr>
          <w:rFonts w:ascii="Arial" w:hAnsi="Arial" w:cs="Arial"/>
        </w:rPr>
        <w:t>. In comparison to the other six councils in the Eastern Metropolitan Region (</w:t>
      </w:r>
      <w:proofErr w:type="spellStart"/>
      <w:r w:rsidRPr="00504456">
        <w:rPr>
          <w:rFonts w:ascii="Arial" w:hAnsi="Arial" w:cs="Arial"/>
        </w:rPr>
        <w:t>EMR</w:t>
      </w:r>
      <w:proofErr w:type="spellEnd"/>
      <w:r w:rsidRPr="00504456">
        <w:rPr>
          <w:rFonts w:ascii="Arial" w:hAnsi="Arial" w:cs="Arial"/>
        </w:rPr>
        <w:t xml:space="preserve">), the City of Boroondara was ranked the lowest for spending on </w:t>
      </w:r>
      <w:proofErr w:type="spellStart"/>
      <w:r w:rsidRPr="00504456">
        <w:rPr>
          <w:rFonts w:ascii="Arial" w:hAnsi="Arial" w:cs="Arial"/>
        </w:rPr>
        <w:t>EGMs</w:t>
      </w:r>
      <w:proofErr w:type="spellEnd"/>
      <w:r w:rsidRPr="00504456">
        <w:rPr>
          <w:rFonts w:ascii="Arial" w:hAnsi="Arial" w:cs="Arial"/>
        </w:rPr>
        <w:t xml:space="preserve"> </w:t>
      </w:r>
      <w:r w:rsidRPr="00504456">
        <w:rPr>
          <w:rFonts w:ascii="Arial" w:hAnsi="Arial" w:cs="Arial"/>
          <w:color w:val="000000"/>
        </w:rPr>
        <w:t>during this time.</w:t>
      </w:r>
    </w:p>
    <w:p w:rsidR="00A14868" w:rsidRPr="00504456" w:rsidRDefault="008241DC" w:rsidP="00A14868">
      <w:pPr>
        <w:rPr>
          <w:rFonts w:ascii="Arial" w:hAnsi="Arial" w:cs="Arial"/>
        </w:rPr>
      </w:pPr>
      <w:r w:rsidRPr="00504456">
        <w:rPr>
          <w:rFonts w:ascii="Arial" w:hAnsi="Arial" w:cs="Arial"/>
          <w:noProof/>
          <w:lang w:val="en-AU" w:eastAsia="en-AU"/>
        </w:rPr>
        <w:lastRenderedPageBreak/>
        <w:drawing>
          <wp:inline distT="0" distB="0" distL="0" distR="0">
            <wp:extent cx="5943600" cy="4262120"/>
            <wp:effectExtent l="19050" t="0" r="19050" b="508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4868" w:rsidRPr="00504456" w:rsidRDefault="00A14868" w:rsidP="00A14868">
      <w:pPr>
        <w:rPr>
          <w:rFonts w:ascii="Arial" w:hAnsi="Arial" w:cs="Arial"/>
          <w:b/>
        </w:rPr>
      </w:pPr>
      <w:r w:rsidRPr="00504456">
        <w:rPr>
          <w:rFonts w:ascii="Arial" w:hAnsi="Arial" w:cs="Arial"/>
          <w:b/>
        </w:rPr>
        <w:t xml:space="preserve">Figure 2: </w:t>
      </w:r>
      <w:proofErr w:type="spellStart"/>
      <w:r w:rsidRPr="00504456">
        <w:rPr>
          <w:rFonts w:ascii="Arial" w:hAnsi="Arial" w:cs="Arial"/>
          <w:b/>
        </w:rPr>
        <w:t>EGM</w:t>
      </w:r>
      <w:proofErr w:type="spellEnd"/>
      <w:r w:rsidRPr="00504456">
        <w:rPr>
          <w:rFonts w:ascii="Arial" w:hAnsi="Arial" w:cs="Arial"/>
          <w:b/>
        </w:rPr>
        <w:t xml:space="preserve"> expenditure in the </w:t>
      </w:r>
      <w:proofErr w:type="spellStart"/>
      <w:r w:rsidRPr="00504456">
        <w:rPr>
          <w:rFonts w:ascii="Arial" w:hAnsi="Arial" w:cs="Arial"/>
          <w:b/>
        </w:rPr>
        <w:t>EMR</w:t>
      </w:r>
      <w:proofErr w:type="spellEnd"/>
      <w:r w:rsidRPr="00504456">
        <w:rPr>
          <w:rFonts w:ascii="Arial" w:hAnsi="Arial" w:cs="Arial"/>
          <w:b/>
        </w:rPr>
        <w:t>, 2011-12</w:t>
      </w:r>
      <w:r w:rsidRPr="00504456">
        <w:rPr>
          <w:rStyle w:val="FootnoteReference"/>
          <w:rFonts w:ascii="Arial" w:hAnsi="Arial" w:cs="Arial"/>
          <w:b/>
        </w:rPr>
        <w:footnoteReference w:id="29"/>
      </w:r>
    </w:p>
    <w:p w:rsidR="00A14868" w:rsidRPr="00504456" w:rsidRDefault="00A14868" w:rsidP="00A14868">
      <w:pPr>
        <w:rPr>
          <w:rFonts w:ascii="Arial" w:hAnsi="Arial" w:cs="Arial"/>
          <w:sz w:val="20"/>
          <w:szCs w:val="20"/>
        </w:rPr>
      </w:pPr>
    </w:p>
    <w:p w:rsidR="00A14868" w:rsidRPr="00504456" w:rsidRDefault="00A14868" w:rsidP="00A14868">
      <w:pPr>
        <w:rPr>
          <w:rFonts w:ascii="Arial" w:hAnsi="Arial" w:cs="Arial"/>
        </w:rPr>
      </w:pPr>
      <w:r w:rsidRPr="00504456">
        <w:rPr>
          <w:rFonts w:ascii="Arial" w:hAnsi="Arial" w:cs="Arial"/>
        </w:rPr>
        <w:t xml:space="preserve">For Boroondara's </w:t>
      </w:r>
      <w:proofErr w:type="spellStart"/>
      <w:r w:rsidRPr="00504456">
        <w:rPr>
          <w:rFonts w:ascii="Arial" w:hAnsi="Arial" w:cs="Arial"/>
        </w:rPr>
        <w:t>EGM</w:t>
      </w:r>
      <w:proofErr w:type="spellEnd"/>
      <w:r w:rsidRPr="00504456">
        <w:rPr>
          <w:rFonts w:ascii="Arial" w:hAnsi="Arial" w:cs="Arial"/>
        </w:rPr>
        <w:t xml:space="preserve"> venues, total expenditure on </w:t>
      </w:r>
      <w:proofErr w:type="spellStart"/>
      <w:r w:rsidRPr="00504456">
        <w:rPr>
          <w:rFonts w:ascii="Arial" w:hAnsi="Arial" w:cs="Arial"/>
        </w:rPr>
        <w:t>EGMs</w:t>
      </w:r>
      <w:proofErr w:type="spellEnd"/>
      <w:r w:rsidRPr="00504456">
        <w:rPr>
          <w:rFonts w:ascii="Arial" w:hAnsi="Arial" w:cs="Arial"/>
        </w:rPr>
        <w:t xml:space="preserve"> over the 20 financial year</w:t>
      </w:r>
      <w:r w:rsidR="005D57A8" w:rsidRPr="00504456">
        <w:rPr>
          <w:rFonts w:ascii="Arial" w:hAnsi="Arial" w:cs="Arial"/>
        </w:rPr>
        <w:t>s from 1993</w:t>
      </w:r>
      <w:r w:rsidRPr="00504456">
        <w:rPr>
          <w:rFonts w:ascii="Arial" w:hAnsi="Arial" w:cs="Arial"/>
        </w:rPr>
        <w:t>-9</w:t>
      </w:r>
      <w:r w:rsidR="005D57A8" w:rsidRPr="00504456">
        <w:rPr>
          <w:rFonts w:ascii="Arial" w:hAnsi="Arial" w:cs="Arial"/>
        </w:rPr>
        <w:t>4</w:t>
      </w:r>
      <w:r w:rsidRPr="00504456">
        <w:rPr>
          <w:rFonts w:ascii="Arial" w:hAnsi="Arial" w:cs="Arial"/>
        </w:rPr>
        <w:t xml:space="preserve"> to 201</w:t>
      </w:r>
      <w:r w:rsidR="005D57A8" w:rsidRPr="00504456">
        <w:rPr>
          <w:rFonts w:ascii="Arial" w:hAnsi="Arial" w:cs="Arial"/>
        </w:rPr>
        <w:t>2</w:t>
      </w:r>
      <w:r w:rsidRPr="00504456">
        <w:rPr>
          <w:rFonts w:ascii="Arial" w:hAnsi="Arial" w:cs="Arial"/>
        </w:rPr>
        <w:t>-1</w:t>
      </w:r>
      <w:r w:rsidR="005D57A8" w:rsidRPr="00504456">
        <w:rPr>
          <w:rFonts w:ascii="Arial" w:hAnsi="Arial" w:cs="Arial"/>
        </w:rPr>
        <w:t>3</w:t>
      </w:r>
      <w:r w:rsidRPr="00504456">
        <w:rPr>
          <w:rFonts w:ascii="Arial" w:hAnsi="Arial" w:cs="Arial"/>
        </w:rPr>
        <w:t xml:space="preserve"> was $</w:t>
      </w:r>
      <w:r w:rsidR="005D57A8" w:rsidRPr="00504456">
        <w:rPr>
          <w:rFonts w:ascii="Arial" w:hAnsi="Arial" w:cs="Arial"/>
        </w:rPr>
        <w:t>343.3</w:t>
      </w:r>
      <w:r w:rsidRPr="00504456">
        <w:rPr>
          <w:rFonts w:ascii="Arial" w:hAnsi="Arial" w:cs="Arial"/>
        </w:rPr>
        <w:t xml:space="preserve"> million. As stated earlier, the Productivity Commission estimates that around 40 per cent of total </w:t>
      </w:r>
      <w:proofErr w:type="spellStart"/>
      <w:r w:rsidRPr="00504456">
        <w:rPr>
          <w:rFonts w:ascii="Arial" w:hAnsi="Arial" w:cs="Arial"/>
        </w:rPr>
        <w:t>EGM</w:t>
      </w:r>
      <w:proofErr w:type="spellEnd"/>
      <w:r w:rsidRPr="00504456">
        <w:rPr>
          <w:rFonts w:ascii="Arial" w:hAnsi="Arial" w:cs="Arial"/>
        </w:rPr>
        <w:t xml:space="preserve"> losses are from gambling by problem gamblers. By applying this figure to total losses on </w:t>
      </w:r>
      <w:proofErr w:type="spellStart"/>
      <w:r w:rsidRPr="00504456">
        <w:rPr>
          <w:rFonts w:ascii="Arial" w:hAnsi="Arial" w:cs="Arial"/>
        </w:rPr>
        <w:t>EGMs</w:t>
      </w:r>
      <w:proofErr w:type="spellEnd"/>
      <w:r w:rsidRPr="00504456">
        <w:rPr>
          <w:rFonts w:ascii="Arial" w:hAnsi="Arial" w:cs="Arial"/>
        </w:rPr>
        <w:t xml:space="preserve"> at Boroondara venues since 199</w:t>
      </w:r>
      <w:r w:rsidR="005D57A8" w:rsidRPr="00504456">
        <w:rPr>
          <w:rFonts w:ascii="Arial" w:hAnsi="Arial" w:cs="Arial"/>
        </w:rPr>
        <w:t>3</w:t>
      </w:r>
      <w:r w:rsidRPr="00504456">
        <w:rPr>
          <w:rFonts w:ascii="Arial" w:hAnsi="Arial" w:cs="Arial"/>
        </w:rPr>
        <w:t>, it can be estimated that approximately $13</w:t>
      </w:r>
      <w:r w:rsidR="005D57A8" w:rsidRPr="00504456">
        <w:rPr>
          <w:rFonts w:ascii="Arial" w:hAnsi="Arial" w:cs="Arial"/>
        </w:rPr>
        <w:t>7</w:t>
      </w:r>
      <w:r w:rsidRPr="00504456">
        <w:rPr>
          <w:rFonts w:ascii="Arial" w:hAnsi="Arial" w:cs="Arial"/>
        </w:rPr>
        <w:t xml:space="preserve">.3 million has been spent on </w:t>
      </w:r>
      <w:proofErr w:type="spellStart"/>
      <w:r w:rsidRPr="00504456">
        <w:rPr>
          <w:rFonts w:ascii="Arial" w:hAnsi="Arial" w:cs="Arial"/>
        </w:rPr>
        <w:t>EGMs</w:t>
      </w:r>
      <w:proofErr w:type="spellEnd"/>
      <w:r w:rsidRPr="00504456">
        <w:rPr>
          <w:rFonts w:ascii="Arial" w:hAnsi="Arial" w:cs="Arial"/>
        </w:rPr>
        <w:t xml:space="preserve"> in Boroondara by people with gambling problems. </w:t>
      </w:r>
    </w:p>
    <w:p w:rsidR="00A14868" w:rsidRPr="00504456" w:rsidRDefault="00A14868" w:rsidP="00A14868">
      <w:pPr>
        <w:rPr>
          <w:rFonts w:ascii="Arial" w:hAnsi="Arial" w:cs="Arial"/>
          <w:sz w:val="20"/>
          <w:szCs w:val="20"/>
        </w:rPr>
      </w:pPr>
    </w:p>
    <w:p w:rsidR="00A14868" w:rsidRPr="00504456" w:rsidRDefault="00A14868" w:rsidP="00A14868">
      <w:pPr>
        <w:rPr>
          <w:rFonts w:ascii="Arial" w:hAnsi="Arial" w:cs="Arial"/>
        </w:rPr>
      </w:pPr>
      <w:r w:rsidRPr="00504456">
        <w:rPr>
          <w:rFonts w:ascii="Arial" w:hAnsi="Arial"/>
          <w:bCs/>
          <w:iCs/>
          <w:szCs w:val="28"/>
        </w:rPr>
        <w:t>In 2008, the City of Boroondara undertook a Community Assets and Wellbeing Survey, which found that o</w:t>
      </w:r>
      <w:r w:rsidRPr="00504456">
        <w:rPr>
          <w:rFonts w:ascii="Arial" w:hAnsi="Arial" w:cs="Arial"/>
        </w:rPr>
        <w:t xml:space="preserve">ver half of the 308 respondents believed there should be a decrease in both the number of </w:t>
      </w:r>
      <w:proofErr w:type="spellStart"/>
      <w:r w:rsidRPr="00504456">
        <w:rPr>
          <w:rFonts w:ascii="Arial" w:hAnsi="Arial" w:cs="Arial"/>
        </w:rPr>
        <w:t>EGMs</w:t>
      </w:r>
      <w:proofErr w:type="spellEnd"/>
      <w:r w:rsidRPr="00504456">
        <w:rPr>
          <w:rFonts w:ascii="Arial" w:hAnsi="Arial" w:cs="Arial"/>
        </w:rPr>
        <w:t xml:space="preserve"> and the number of gaming venues in the municipality (57.0 per cent and 52.7 per cent respectively).</w:t>
      </w:r>
      <w:r w:rsidRPr="00504456">
        <w:rPr>
          <w:rStyle w:val="FootnoteReference"/>
          <w:rFonts w:ascii="Arial" w:hAnsi="Arial" w:cs="Arial"/>
        </w:rPr>
        <w:footnoteReference w:id="30"/>
      </w:r>
    </w:p>
    <w:p w:rsidR="00A14868" w:rsidRPr="00504456" w:rsidRDefault="00A14868" w:rsidP="00A14868">
      <w:pPr>
        <w:pStyle w:val="Heading2"/>
      </w:pPr>
      <w:bookmarkStart w:id="12" w:name="_Toc355356637"/>
      <w:bookmarkStart w:id="13" w:name="_Toc355356802"/>
      <w:bookmarkStart w:id="14" w:name="_Toc355613982"/>
      <w:bookmarkStart w:id="15" w:name="_Toc355356461"/>
      <w:bookmarkStart w:id="16" w:name="_Toc372787027"/>
      <w:bookmarkEnd w:id="12"/>
      <w:bookmarkEnd w:id="13"/>
      <w:bookmarkEnd w:id="14"/>
      <w:r w:rsidRPr="00504456">
        <w:t>Policy context</w:t>
      </w:r>
      <w:bookmarkEnd w:id="15"/>
      <w:bookmarkEnd w:id="16"/>
    </w:p>
    <w:p w:rsidR="00A14868" w:rsidRPr="00504456" w:rsidRDefault="00A14868" w:rsidP="00A14868">
      <w:pPr>
        <w:rPr>
          <w:rFonts w:ascii="Arial" w:hAnsi="Arial" w:cs="Arial"/>
          <w:color w:val="FF0000"/>
        </w:rPr>
      </w:pPr>
      <w:r w:rsidRPr="00504456">
        <w:rPr>
          <w:rFonts w:ascii="Arial" w:hAnsi="Arial" w:cs="Arial"/>
          <w:color w:val="000000"/>
        </w:rPr>
        <w:t xml:space="preserve">Until recently, the Australian Government has not been involved in the regulation of </w:t>
      </w:r>
      <w:proofErr w:type="spellStart"/>
      <w:r w:rsidRPr="00504456">
        <w:rPr>
          <w:rFonts w:ascii="Arial" w:hAnsi="Arial" w:cs="Arial"/>
          <w:color w:val="000000"/>
        </w:rPr>
        <w:t>EGMs</w:t>
      </w:r>
      <w:proofErr w:type="spellEnd"/>
      <w:r w:rsidRPr="00504456">
        <w:rPr>
          <w:rFonts w:ascii="Arial" w:hAnsi="Arial" w:cs="Arial"/>
          <w:color w:val="000000"/>
        </w:rPr>
        <w:t>. However, on 29 November 2012, it passed</w:t>
      </w:r>
      <w:r w:rsidR="00276AC7" w:rsidRPr="00504456">
        <w:rPr>
          <w:rFonts w:ascii="Arial" w:hAnsi="Arial" w:cs="Arial"/>
          <w:color w:val="000000"/>
        </w:rPr>
        <w:t xml:space="preserve"> national</w:t>
      </w:r>
      <w:r w:rsidRPr="00504456">
        <w:rPr>
          <w:rFonts w:ascii="Arial" w:hAnsi="Arial" w:cs="Arial"/>
          <w:color w:val="000000"/>
        </w:rPr>
        <w:t xml:space="preserve"> gambling reform legislation to reduce the harm from </w:t>
      </w:r>
      <w:proofErr w:type="spellStart"/>
      <w:r w:rsidRPr="00504456">
        <w:rPr>
          <w:rFonts w:ascii="Arial" w:hAnsi="Arial" w:cs="Arial"/>
          <w:color w:val="000000"/>
        </w:rPr>
        <w:t>EGM</w:t>
      </w:r>
      <w:proofErr w:type="spellEnd"/>
      <w:r w:rsidRPr="00504456">
        <w:rPr>
          <w:rFonts w:ascii="Arial" w:hAnsi="Arial" w:cs="Arial"/>
          <w:color w:val="000000"/>
        </w:rPr>
        <w:t xml:space="preserve"> gambling. Prior to this, the Australian Government had been responsible for commissioning the 1999 and 2009 Productivity Commission's inquiries into the Australian gambling industries, which provide key sources of gambling research and recommendations in Australia.</w:t>
      </w:r>
      <w:r w:rsidRPr="00504456">
        <w:rPr>
          <w:rStyle w:val="FootnoteReference"/>
          <w:rFonts w:ascii="Arial" w:hAnsi="Arial" w:cs="Arial"/>
          <w:color w:val="000000"/>
        </w:rPr>
        <w:footnoteReference w:id="31"/>
      </w:r>
    </w:p>
    <w:p w:rsidR="00A14868" w:rsidRPr="00504456" w:rsidRDefault="00A14868" w:rsidP="00A14868">
      <w:pPr>
        <w:rPr>
          <w:rFonts w:ascii="Arial" w:hAnsi="Arial" w:cs="Arial"/>
          <w:color w:val="FF0000"/>
        </w:rPr>
      </w:pPr>
    </w:p>
    <w:p w:rsidR="00A14868" w:rsidRPr="00504456" w:rsidRDefault="00A14868" w:rsidP="00A14868">
      <w:pPr>
        <w:rPr>
          <w:rFonts w:ascii="Arial" w:hAnsi="Arial" w:cs="Arial"/>
          <w:color w:val="000000"/>
        </w:rPr>
      </w:pPr>
      <w:r w:rsidRPr="00504456">
        <w:rPr>
          <w:rFonts w:ascii="Arial" w:hAnsi="Arial" w:cs="Arial"/>
          <w:color w:val="000000"/>
        </w:rPr>
        <w:t xml:space="preserve">The Victorian Government is responsible for the regulation of </w:t>
      </w:r>
      <w:proofErr w:type="spellStart"/>
      <w:r w:rsidRPr="00504456">
        <w:rPr>
          <w:rFonts w:ascii="Arial" w:hAnsi="Arial" w:cs="Arial"/>
          <w:color w:val="000000"/>
        </w:rPr>
        <w:t>EGMs</w:t>
      </w:r>
      <w:proofErr w:type="spellEnd"/>
      <w:r w:rsidRPr="00504456">
        <w:rPr>
          <w:rFonts w:ascii="Arial" w:hAnsi="Arial" w:cs="Arial"/>
          <w:color w:val="000000"/>
        </w:rPr>
        <w:t xml:space="preserve"> and the beneficiary of revenue </w:t>
      </w:r>
      <w:proofErr w:type="gramStart"/>
      <w:r w:rsidRPr="00504456">
        <w:rPr>
          <w:rFonts w:ascii="Arial" w:hAnsi="Arial" w:cs="Arial"/>
          <w:color w:val="000000"/>
        </w:rPr>
        <w:t>raised</w:t>
      </w:r>
      <w:proofErr w:type="gramEnd"/>
      <w:r w:rsidRPr="00504456">
        <w:rPr>
          <w:rFonts w:ascii="Arial" w:hAnsi="Arial" w:cs="Arial"/>
          <w:color w:val="000000"/>
        </w:rPr>
        <w:t xml:space="preserve"> from them. The Victorian Government is also responsible for the regulation of all other legal forms of gambling, except for online gambling, which is regulated by the Australian Government.</w:t>
      </w:r>
    </w:p>
    <w:p w:rsidR="00A14868" w:rsidRPr="00504456" w:rsidRDefault="00A14868" w:rsidP="00A14868">
      <w:pPr>
        <w:rPr>
          <w:rFonts w:ascii="Arial" w:hAnsi="Arial" w:cs="Arial"/>
          <w:color w:val="000000"/>
        </w:rPr>
      </w:pPr>
    </w:p>
    <w:p w:rsidR="00A14868" w:rsidRPr="00504456" w:rsidRDefault="00A14868" w:rsidP="00A14868">
      <w:pPr>
        <w:rPr>
          <w:rFonts w:ascii="Arial" w:hAnsi="Arial" w:cs="Arial"/>
          <w:color w:val="FF0000"/>
        </w:rPr>
      </w:pPr>
      <w:r w:rsidRPr="00504456">
        <w:rPr>
          <w:rFonts w:ascii="Arial" w:hAnsi="Arial" w:cs="Arial"/>
          <w:color w:val="000000"/>
        </w:rPr>
        <w:t xml:space="preserve">Since October 2006, </w:t>
      </w:r>
      <w:r w:rsidR="00F03287" w:rsidRPr="00504456">
        <w:rPr>
          <w:rFonts w:ascii="Arial" w:hAnsi="Arial" w:cs="Arial"/>
          <w:color w:val="000000"/>
        </w:rPr>
        <w:t xml:space="preserve">Victorian </w:t>
      </w:r>
      <w:r w:rsidRPr="00504456">
        <w:rPr>
          <w:rFonts w:ascii="Arial" w:hAnsi="Arial" w:cs="Arial"/>
          <w:color w:val="000000"/>
        </w:rPr>
        <w:t xml:space="preserve">local governments have been required to assess all </w:t>
      </w:r>
      <w:r w:rsidR="00D273C4" w:rsidRPr="00504456">
        <w:rPr>
          <w:rFonts w:ascii="Arial" w:hAnsi="Arial" w:cs="Arial"/>
          <w:color w:val="000000"/>
        </w:rPr>
        <w:t xml:space="preserve">planning permit </w:t>
      </w:r>
      <w:r w:rsidRPr="00504456">
        <w:rPr>
          <w:rFonts w:ascii="Arial" w:hAnsi="Arial" w:cs="Arial"/>
          <w:color w:val="000000"/>
        </w:rPr>
        <w:t xml:space="preserve">applications to install </w:t>
      </w:r>
      <w:r w:rsidR="00D273C4" w:rsidRPr="00504456">
        <w:rPr>
          <w:rFonts w:ascii="Arial" w:hAnsi="Arial" w:cs="Arial"/>
          <w:color w:val="000000"/>
        </w:rPr>
        <w:t xml:space="preserve">and use </w:t>
      </w:r>
      <w:proofErr w:type="spellStart"/>
      <w:r w:rsidRPr="00504456">
        <w:rPr>
          <w:rFonts w:ascii="Arial" w:hAnsi="Arial" w:cs="Arial"/>
          <w:color w:val="000000"/>
        </w:rPr>
        <w:t>EGMs</w:t>
      </w:r>
      <w:proofErr w:type="spellEnd"/>
      <w:r w:rsidRPr="00504456">
        <w:rPr>
          <w:rFonts w:ascii="Arial" w:hAnsi="Arial" w:cs="Arial"/>
          <w:color w:val="000000"/>
        </w:rPr>
        <w:t xml:space="preserve"> in their municipalities. </w:t>
      </w:r>
      <w:r w:rsidR="00694A80" w:rsidRPr="00504456">
        <w:rPr>
          <w:rFonts w:ascii="Arial" w:hAnsi="Arial" w:cs="Arial"/>
          <w:color w:val="000000"/>
        </w:rPr>
        <w:t xml:space="preserve">This has provided </w:t>
      </w:r>
      <w:r w:rsidRPr="00504456">
        <w:rPr>
          <w:rFonts w:ascii="Arial" w:hAnsi="Arial" w:cs="Arial"/>
          <w:color w:val="000000"/>
        </w:rPr>
        <w:t xml:space="preserve">local governments </w:t>
      </w:r>
      <w:r w:rsidR="00694A80" w:rsidRPr="00504456">
        <w:rPr>
          <w:rFonts w:ascii="Arial" w:hAnsi="Arial" w:cs="Arial"/>
          <w:color w:val="000000"/>
        </w:rPr>
        <w:t>with a</w:t>
      </w:r>
      <w:r w:rsidR="0096251C" w:rsidRPr="00504456">
        <w:rPr>
          <w:rFonts w:ascii="Arial" w:hAnsi="Arial" w:cs="Arial"/>
          <w:color w:val="000000"/>
        </w:rPr>
        <w:t xml:space="preserve"> statutory process to assess the impacts of </w:t>
      </w:r>
      <w:proofErr w:type="spellStart"/>
      <w:r w:rsidRPr="00504456">
        <w:rPr>
          <w:rFonts w:ascii="Arial" w:hAnsi="Arial" w:cs="Arial"/>
          <w:color w:val="000000"/>
        </w:rPr>
        <w:t>EGMs</w:t>
      </w:r>
      <w:proofErr w:type="spellEnd"/>
      <w:r w:rsidRPr="00504456">
        <w:rPr>
          <w:rFonts w:ascii="Arial" w:hAnsi="Arial" w:cs="Arial"/>
          <w:color w:val="000000"/>
        </w:rPr>
        <w:t xml:space="preserve"> in communities</w:t>
      </w:r>
      <w:r w:rsidR="001004FE" w:rsidRPr="00504456">
        <w:rPr>
          <w:rFonts w:ascii="Arial" w:hAnsi="Arial" w:cs="Arial"/>
          <w:color w:val="000000"/>
        </w:rPr>
        <w:t>.</w:t>
      </w:r>
      <w:r w:rsidRPr="00504456">
        <w:rPr>
          <w:rStyle w:val="FootnoteReference"/>
          <w:rFonts w:ascii="Arial" w:hAnsi="Arial" w:cs="Arial"/>
          <w:color w:val="000000"/>
        </w:rPr>
        <w:footnoteReference w:id="32"/>
      </w:r>
    </w:p>
    <w:p w:rsidR="00A14868" w:rsidRPr="00504456" w:rsidRDefault="00A14868" w:rsidP="00A14868">
      <w:pPr>
        <w:rPr>
          <w:rFonts w:ascii="Arial" w:hAnsi="Arial" w:cs="Arial"/>
          <w:color w:val="FF0000"/>
        </w:rPr>
      </w:pPr>
    </w:p>
    <w:p w:rsidR="00A14868" w:rsidRPr="00504456" w:rsidRDefault="00A14868" w:rsidP="00A14868">
      <w:pPr>
        <w:rPr>
          <w:rFonts w:ascii="Arial" w:hAnsi="Arial" w:cs="Arial"/>
          <w:color w:val="000000"/>
        </w:rPr>
      </w:pPr>
      <w:r w:rsidRPr="00504456">
        <w:rPr>
          <w:rFonts w:ascii="Arial" w:hAnsi="Arial" w:cs="Arial"/>
          <w:color w:val="000000"/>
        </w:rPr>
        <w:t xml:space="preserve">Outlined below are the Australian Government, Victorian Government and City of Boroondara policies of relevance to </w:t>
      </w:r>
      <w:proofErr w:type="spellStart"/>
      <w:r w:rsidRPr="00504456">
        <w:rPr>
          <w:rFonts w:ascii="Arial" w:hAnsi="Arial" w:cs="Arial"/>
          <w:color w:val="000000"/>
        </w:rPr>
        <w:t>EGM</w:t>
      </w:r>
      <w:proofErr w:type="spellEnd"/>
      <w:r w:rsidRPr="00504456">
        <w:rPr>
          <w:rFonts w:ascii="Arial" w:hAnsi="Arial" w:cs="Arial"/>
          <w:color w:val="000000"/>
        </w:rPr>
        <w:t xml:space="preserve"> gambling.</w:t>
      </w:r>
    </w:p>
    <w:p w:rsidR="00A14868" w:rsidRPr="00504456" w:rsidRDefault="00BF74CC" w:rsidP="00A14868">
      <w:pPr>
        <w:pStyle w:val="Heading3"/>
        <w:rPr>
          <w:sz w:val="24"/>
          <w:szCs w:val="24"/>
        </w:rPr>
      </w:pPr>
      <w:bookmarkStart w:id="17" w:name="_Toc355613984"/>
      <w:bookmarkStart w:id="18" w:name="_Toc355356462"/>
      <w:bookmarkStart w:id="19" w:name="_Toc372787028"/>
      <w:bookmarkStart w:id="20" w:name="_Toc351128759"/>
      <w:bookmarkStart w:id="21" w:name="_Toc352847825"/>
      <w:bookmarkStart w:id="22" w:name="_Toc352847941"/>
      <w:bookmarkStart w:id="23" w:name="_Toc352933242"/>
      <w:bookmarkEnd w:id="17"/>
      <w:r w:rsidRPr="00504456">
        <w:rPr>
          <w:sz w:val="24"/>
          <w:szCs w:val="24"/>
        </w:rPr>
        <w:t>Australian Government</w:t>
      </w:r>
      <w:bookmarkEnd w:id="18"/>
      <w:bookmarkEnd w:id="19"/>
    </w:p>
    <w:p w:rsidR="00A14868" w:rsidRPr="00504456" w:rsidRDefault="00A14868" w:rsidP="00CA12E1">
      <w:pPr>
        <w:rPr>
          <w:rFonts w:ascii="Arial" w:hAnsi="Arial" w:cs="Arial"/>
          <w:color w:val="000000"/>
        </w:rPr>
      </w:pPr>
      <w:r w:rsidRPr="00504456">
        <w:rPr>
          <w:rFonts w:ascii="Arial" w:hAnsi="Arial" w:cs="Arial"/>
        </w:rPr>
        <w:t>As mentioned, on 29 November 2012, the</w:t>
      </w:r>
      <w:r w:rsidR="001004FE" w:rsidRPr="00504456">
        <w:rPr>
          <w:rFonts w:ascii="Arial" w:hAnsi="Arial" w:cs="Arial"/>
        </w:rPr>
        <w:t xml:space="preserve"> former</w:t>
      </w:r>
      <w:r w:rsidRPr="00504456">
        <w:rPr>
          <w:rFonts w:ascii="Arial" w:hAnsi="Arial" w:cs="Arial"/>
        </w:rPr>
        <w:t xml:space="preserve"> Australian Government</w:t>
      </w:r>
      <w:r w:rsidR="00DF60C7" w:rsidRPr="00504456">
        <w:rPr>
          <w:rFonts w:ascii="Arial" w:hAnsi="Arial" w:cs="Arial"/>
        </w:rPr>
        <w:t xml:space="preserve"> </w:t>
      </w:r>
      <w:r w:rsidRPr="00504456">
        <w:rPr>
          <w:rFonts w:ascii="Arial" w:hAnsi="Arial" w:cs="Arial"/>
        </w:rPr>
        <w:t xml:space="preserve">passed gambling reform legislation that put in place national reforms to reduce the harm from </w:t>
      </w:r>
      <w:proofErr w:type="spellStart"/>
      <w:r w:rsidRPr="00504456">
        <w:rPr>
          <w:rFonts w:ascii="Arial" w:hAnsi="Arial" w:cs="Arial"/>
        </w:rPr>
        <w:t>EGM</w:t>
      </w:r>
      <w:proofErr w:type="spellEnd"/>
      <w:r w:rsidRPr="00504456">
        <w:rPr>
          <w:rFonts w:ascii="Arial" w:hAnsi="Arial" w:cs="Arial"/>
        </w:rPr>
        <w:t xml:space="preserve"> gambling. </w:t>
      </w:r>
      <w:r w:rsidR="00EA5FBA" w:rsidRPr="00504456">
        <w:rPr>
          <w:rFonts w:ascii="Arial" w:hAnsi="Arial" w:cs="Arial"/>
          <w:color w:val="000000"/>
        </w:rPr>
        <w:t>The reforms respond</w:t>
      </w:r>
      <w:r w:rsidR="00DF60C7" w:rsidRPr="00504456">
        <w:rPr>
          <w:rFonts w:ascii="Arial" w:hAnsi="Arial" w:cs="Arial"/>
          <w:color w:val="000000"/>
        </w:rPr>
        <w:t>ed</w:t>
      </w:r>
      <w:r w:rsidR="00EA5FBA" w:rsidRPr="00504456">
        <w:rPr>
          <w:rFonts w:ascii="Arial" w:hAnsi="Arial" w:cs="Arial"/>
          <w:color w:val="000000"/>
        </w:rPr>
        <w:t xml:space="preserve"> to the Productivity Commission's Gambling Report recommendations</w:t>
      </w:r>
      <w:r w:rsidR="00EA5FBA" w:rsidRPr="00504456">
        <w:rPr>
          <w:rFonts w:ascii="Arial" w:hAnsi="Arial" w:cs="Arial"/>
          <w:i/>
        </w:rPr>
        <w:t>.</w:t>
      </w:r>
      <w:r w:rsidR="00EA5FBA" w:rsidRPr="00504456">
        <w:rPr>
          <w:rFonts w:ascii="Arial" w:hAnsi="Arial" w:cs="Arial"/>
          <w:color w:val="000000"/>
        </w:rPr>
        <w:t xml:space="preserve"> They </w:t>
      </w:r>
      <w:r w:rsidR="00DF60C7" w:rsidRPr="00504456">
        <w:rPr>
          <w:rFonts w:ascii="Arial" w:hAnsi="Arial" w:cs="Arial"/>
          <w:color w:val="000000"/>
        </w:rPr>
        <w:t>were</w:t>
      </w:r>
      <w:r w:rsidR="00EA5FBA" w:rsidRPr="00504456">
        <w:rPr>
          <w:rFonts w:ascii="Arial" w:hAnsi="Arial" w:cs="Arial"/>
          <w:color w:val="000000"/>
        </w:rPr>
        <w:t xml:space="preserve"> scheduled to be phased in over a decade to </w:t>
      </w:r>
      <w:proofErr w:type="spellStart"/>
      <w:r w:rsidR="00EA5FBA" w:rsidRPr="00504456">
        <w:rPr>
          <w:rFonts w:ascii="Arial" w:hAnsi="Arial" w:cs="Arial"/>
          <w:color w:val="000000"/>
        </w:rPr>
        <w:t>minimise</w:t>
      </w:r>
      <w:proofErr w:type="spellEnd"/>
      <w:r w:rsidR="00EA5FBA" w:rsidRPr="00504456">
        <w:rPr>
          <w:rFonts w:ascii="Arial" w:hAnsi="Arial" w:cs="Arial"/>
          <w:color w:val="000000"/>
        </w:rPr>
        <w:t xml:space="preserve"> the impact on venue operators.</w:t>
      </w:r>
      <w:r w:rsidR="00EA5FBA" w:rsidRPr="00504456">
        <w:rPr>
          <w:rStyle w:val="FootnoteReference"/>
          <w:rFonts w:ascii="Arial" w:hAnsi="Arial" w:cs="Arial"/>
        </w:rPr>
        <w:footnoteReference w:id="33"/>
      </w:r>
      <w:r w:rsidR="00EA5FBA" w:rsidRPr="00504456">
        <w:rPr>
          <w:rFonts w:ascii="Arial" w:hAnsi="Arial" w:cs="Arial"/>
          <w:color w:val="000000"/>
        </w:rPr>
        <w:t xml:space="preserve"> </w:t>
      </w:r>
      <w:r w:rsidRPr="00504456">
        <w:rPr>
          <w:rFonts w:ascii="Arial" w:hAnsi="Arial" w:cs="Arial"/>
        </w:rPr>
        <w:t>The legislation includes:</w:t>
      </w:r>
    </w:p>
    <w:p w:rsidR="00A14868" w:rsidRPr="00504456" w:rsidRDefault="00A14868" w:rsidP="00036CC5">
      <w:pPr>
        <w:numPr>
          <w:ilvl w:val="0"/>
          <w:numId w:val="35"/>
        </w:numPr>
        <w:rPr>
          <w:rFonts w:ascii="Arial" w:hAnsi="Arial" w:cs="Arial"/>
          <w:i/>
        </w:rPr>
      </w:pPr>
      <w:r w:rsidRPr="00504456">
        <w:rPr>
          <w:rFonts w:ascii="Arial" w:hAnsi="Arial" w:cs="Arial"/>
          <w:i/>
        </w:rPr>
        <w:t>The National Gambling Reform Act 2012</w:t>
      </w:r>
    </w:p>
    <w:p w:rsidR="00A14868" w:rsidRPr="00504456" w:rsidRDefault="00A14868" w:rsidP="00036CC5">
      <w:pPr>
        <w:numPr>
          <w:ilvl w:val="0"/>
          <w:numId w:val="35"/>
        </w:numPr>
        <w:rPr>
          <w:rFonts w:ascii="Arial" w:hAnsi="Arial" w:cs="Arial"/>
          <w:i/>
        </w:rPr>
      </w:pPr>
      <w:r w:rsidRPr="00504456">
        <w:rPr>
          <w:rFonts w:ascii="Arial" w:hAnsi="Arial" w:cs="Arial"/>
          <w:i/>
        </w:rPr>
        <w:t>The National Gambling Reform (Related Matters) Act (No.1) 2012</w:t>
      </w:r>
    </w:p>
    <w:p w:rsidR="00A14868" w:rsidRPr="00504456" w:rsidRDefault="00A14868" w:rsidP="00036CC5">
      <w:pPr>
        <w:numPr>
          <w:ilvl w:val="0"/>
          <w:numId w:val="35"/>
        </w:numPr>
        <w:rPr>
          <w:rFonts w:ascii="Arial" w:hAnsi="Arial" w:cs="Arial"/>
          <w:i/>
        </w:rPr>
      </w:pPr>
      <w:r w:rsidRPr="00504456">
        <w:rPr>
          <w:rFonts w:ascii="Arial" w:hAnsi="Arial" w:cs="Arial"/>
          <w:i/>
        </w:rPr>
        <w:t>The National Gambling Reform (Related Matters) Act (</w:t>
      </w:r>
      <w:r w:rsidR="00F03287" w:rsidRPr="00504456">
        <w:rPr>
          <w:rFonts w:ascii="Arial" w:hAnsi="Arial" w:cs="Arial"/>
          <w:i/>
        </w:rPr>
        <w:t>N</w:t>
      </w:r>
      <w:r w:rsidRPr="00504456">
        <w:rPr>
          <w:rFonts w:ascii="Arial" w:hAnsi="Arial" w:cs="Arial"/>
          <w:i/>
        </w:rPr>
        <w:t>o.2) 2012</w:t>
      </w:r>
    </w:p>
    <w:p w:rsidR="00A14868" w:rsidRPr="00504456" w:rsidRDefault="00A14868" w:rsidP="00CA12E1">
      <w:pPr>
        <w:rPr>
          <w:rFonts w:ascii="Arial" w:hAnsi="Arial" w:cs="Arial"/>
        </w:rPr>
      </w:pPr>
    </w:p>
    <w:p w:rsidR="00FA67E4" w:rsidRPr="00504456" w:rsidRDefault="00FA67E4" w:rsidP="00CA12E1">
      <w:pPr>
        <w:rPr>
          <w:rFonts w:ascii="Arial" w:hAnsi="Arial" w:cs="Arial"/>
        </w:rPr>
      </w:pPr>
      <w:r w:rsidRPr="00504456">
        <w:rPr>
          <w:rFonts w:ascii="Arial" w:hAnsi="Arial" w:cs="Arial"/>
        </w:rPr>
        <w:t xml:space="preserve">Some key reforms of this legislation include: </w:t>
      </w:r>
    </w:p>
    <w:p w:rsidR="00FA67E4" w:rsidRPr="00504456" w:rsidRDefault="00FA67E4" w:rsidP="00FA67E4">
      <w:pPr>
        <w:numPr>
          <w:ilvl w:val="0"/>
          <w:numId w:val="26"/>
        </w:numPr>
        <w:rPr>
          <w:rFonts w:ascii="Arial" w:hAnsi="Arial" w:cs="Arial"/>
          <w:color w:val="000000"/>
        </w:rPr>
      </w:pPr>
      <w:r w:rsidRPr="00504456">
        <w:rPr>
          <w:rFonts w:ascii="Arial" w:hAnsi="Arial" w:cs="Arial"/>
          <w:color w:val="000000"/>
        </w:rPr>
        <w:t xml:space="preserve">requirement for </w:t>
      </w:r>
      <w:r w:rsidR="00A14868" w:rsidRPr="00504456">
        <w:rPr>
          <w:rFonts w:ascii="Arial" w:hAnsi="Arial" w:cs="Arial"/>
          <w:color w:val="000000"/>
        </w:rPr>
        <w:t xml:space="preserve">all </w:t>
      </w:r>
      <w:proofErr w:type="spellStart"/>
      <w:r w:rsidR="00A14868" w:rsidRPr="00504456">
        <w:rPr>
          <w:rFonts w:ascii="Arial" w:hAnsi="Arial" w:cs="Arial"/>
          <w:color w:val="000000"/>
        </w:rPr>
        <w:t>EGMs</w:t>
      </w:r>
      <w:proofErr w:type="spellEnd"/>
      <w:r w:rsidR="00A14868" w:rsidRPr="00504456">
        <w:rPr>
          <w:rFonts w:ascii="Arial" w:hAnsi="Arial" w:cs="Arial"/>
          <w:color w:val="000000"/>
        </w:rPr>
        <w:t xml:space="preserve"> to be part of a state</w:t>
      </w:r>
      <w:r w:rsidR="002A4FA1" w:rsidRPr="00504456">
        <w:rPr>
          <w:rFonts w:ascii="Arial" w:hAnsi="Arial" w:cs="Arial"/>
          <w:color w:val="000000"/>
        </w:rPr>
        <w:t>-</w:t>
      </w:r>
      <w:r w:rsidR="00A14868" w:rsidRPr="00504456">
        <w:rPr>
          <w:rFonts w:ascii="Arial" w:hAnsi="Arial" w:cs="Arial"/>
          <w:color w:val="000000"/>
        </w:rPr>
        <w:t>wide voluntary pre-commitment system and display electron</w:t>
      </w:r>
      <w:r w:rsidRPr="00504456">
        <w:rPr>
          <w:rFonts w:ascii="Arial" w:hAnsi="Arial" w:cs="Arial"/>
          <w:color w:val="000000"/>
        </w:rPr>
        <w:t>ic warnings by the end of 2018</w:t>
      </w:r>
    </w:p>
    <w:p w:rsidR="00FA67E4" w:rsidRPr="00504456" w:rsidRDefault="00A14868" w:rsidP="00FA67E4">
      <w:pPr>
        <w:numPr>
          <w:ilvl w:val="0"/>
          <w:numId w:val="26"/>
        </w:numPr>
        <w:rPr>
          <w:rFonts w:ascii="Arial" w:hAnsi="Arial" w:cs="Arial"/>
          <w:color w:val="000000"/>
        </w:rPr>
      </w:pPr>
      <w:r w:rsidRPr="00504456">
        <w:rPr>
          <w:rFonts w:ascii="Arial" w:hAnsi="Arial" w:cs="Arial"/>
          <w:color w:val="000000"/>
        </w:rPr>
        <w:t xml:space="preserve">all new </w:t>
      </w:r>
      <w:proofErr w:type="spellStart"/>
      <w:r w:rsidRPr="00504456">
        <w:rPr>
          <w:rFonts w:ascii="Arial" w:hAnsi="Arial" w:cs="Arial"/>
          <w:color w:val="000000"/>
        </w:rPr>
        <w:t>EGMs</w:t>
      </w:r>
      <w:proofErr w:type="spellEnd"/>
      <w:r w:rsidRPr="00504456">
        <w:rPr>
          <w:rFonts w:ascii="Arial" w:hAnsi="Arial" w:cs="Arial"/>
          <w:color w:val="000000"/>
        </w:rPr>
        <w:t xml:space="preserve"> that are manufactured or imported from the end of 2014 will be required to </w:t>
      </w:r>
      <w:r w:rsidR="00FA67E4" w:rsidRPr="00504456">
        <w:rPr>
          <w:rFonts w:ascii="Arial" w:hAnsi="Arial" w:cs="Arial"/>
          <w:color w:val="000000"/>
        </w:rPr>
        <w:t>have pre-commitment capability</w:t>
      </w:r>
    </w:p>
    <w:p w:rsidR="00FA67E4" w:rsidRPr="00504456" w:rsidRDefault="00A14868" w:rsidP="00FA67E4">
      <w:pPr>
        <w:numPr>
          <w:ilvl w:val="0"/>
          <w:numId w:val="26"/>
        </w:numPr>
        <w:rPr>
          <w:rFonts w:ascii="Arial" w:hAnsi="Arial" w:cs="Arial"/>
          <w:color w:val="000000"/>
        </w:rPr>
      </w:pPr>
      <w:r w:rsidRPr="00504456">
        <w:rPr>
          <w:rFonts w:ascii="Arial" w:hAnsi="Arial" w:cs="Arial"/>
          <w:color w:val="000000"/>
        </w:rPr>
        <w:t xml:space="preserve">extended timelines </w:t>
      </w:r>
      <w:r w:rsidR="005F31D5" w:rsidRPr="00504456">
        <w:rPr>
          <w:rFonts w:ascii="Arial" w:hAnsi="Arial" w:cs="Arial"/>
          <w:color w:val="000000"/>
        </w:rPr>
        <w:t>to implement</w:t>
      </w:r>
      <w:r w:rsidRPr="00504456">
        <w:rPr>
          <w:rFonts w:ascii="Arial" w:hAnsi="Arial" w:cs="Arial"/>
          <w:color w:val="000000"/>
        </w:rPr>
        <w:t xml:space="preserve"> the reforms for </w:t>
      </w:r>
      <w:r w:rsidR="00FA67E4" w:rsidRPr="00504456">
        <w:rPr>
          <w:rFonts w:ascii="Arial" w:hAnsi="Arial" w:cs="Arial"/>
          <w:color w:val="000000"/>
        </w:rPr>
        <w:t xml:space="preserve">small venues with 11 to 20 </w:t>
      </w:r>
      <w:proofErr w:type="spellStart"/>
      <w:r w:rsidR="00FA67E4" w:rsidRPr="00504456">
        <w:rPr>
          <w:rFonts w:ascii="Arial" w:hAnsi="Arial" w:cs="Arial"/>
          <w:color w:val="000000"/>
        </w:rPr>
        <w:t>EGMs</w:t>
      </w:r>
      <w:proofErr w:type="spellEnd"/>
      <w:r w:rsidRPr="00504456">
        <w:rPr>
          <w:rFonts w:ascii="Arial" w:hAnsi="Arial" w:cs="Arial"/>
          <w:color w:val="000000"/>
        </w:rPr>
        <w:t xml:space="preserve"> </w:t>
      </w:r>
    </w:p>
    <w:p w:rsidR="00FA67E4" w:rsidRPr="00504456" w:rsidRDefault="00EA5FBA" w:rsidP="00FA67E4">
      <w:pPr>
        <w:numPr>
          <w:ilvl w:val="0"/>
          <w:numId w:val="26"/>
        </w:numPr>
        <w:rPr>
          <w:rFonts w:ascii="Arial" w:hAnsi="Arial" w:cs="Arial"/>
          <w:color w:val="000000"/>
        </w:rPr>
      </w:pPr>
      <w:r w:rsidRPr="00504456">
        <w:rPr>
          <w:rFonts w:ascii="Arial" w:hAnsi="Arial" w:cs="Arial"/>
          <w:color w:val="000000"/>
        </w:rPr>
        <w:t>introduc</w:t>
      </w:r>
      <w:r w:rsidR="00FA67E4" w:rsidRPr="00504456">
        <w:rPr>
          <w:rFonts w:ascii="Arial" w:hAnsi="Arial" w:cs="Arial"/>
          <w:color w:val="000000"/>
        </w:rPr>
        <w:t>tion of</w:t>
      </w:r>
      <w:r w:rsidRPr="00504456">
        <w:rPr>
          <w:rFonts w:ascii="Arial" w:hAnsi="Arial" w:cs="Arial"/>
          <w:color w:val="000000"/>
        </w:rPr>
        <w:t xml:space="preserve"> two levies relating to the operation of </w:t>
      </w:r>
      <w:proofErr w:type="spellStart"/>
      <w:r w:rsidRPr="00504456">
        <w:rPr>
          <w:rFonts w:ascii="Arial" w:hAnsi="Arial" w:cs="Arial"/>
          <w:color w:val="000000"/>
        </w:rPr>
        <w:t>EGMs</w:t>
      </w:r>
      <w:proofErr w:type="spellEnd"/>
      <w:r w:rsidRPr="00504456">
        <w:rPr>
          <w:rFonts w:ascii="Arial" w:hAnsi="Arial" w:cs="Arial"/>
          <w:color w:val="000000"/>
        </w:rPr>
        <w:t xml:space="preserve">, namely a gaming machine regulation levy and supervisory levy capped at </w:t>
      </w:r>
      <w:r w:rsidR="00FA67E4" w:rsidRPr="00504456">
        <w:rPr>
          <w:rFonts w:ascii="Arial" w:hAnsi="Arial" w:cs="Arial"/>
          <w:color w:val="000000"/>
        </w:rPr>
        <w:t>$10 million a year (indexed)</w:t>
      </w:r>
    </w:p>
    <w:p w:rsidR="00FA67E4" w:rsidRPr="00504456" w:rsidRDefault="00FA67E4" w:rsidP="00FA67E4">
      <w:pPr>
        <w:numPr>
          <w:ilvl w:val="0"/>
          <w:numId w:val="26"/>
        </w:numPr>
        <w:rPr>
          <w:rFonts w:ascii="Arial" w:hAnsi="Arial" w:cs="Arial"/>
          <w:color w:val="000000"/>
        </w:rPr>
      </w:pPr>
      <w:r w:rsidRPr="00504456">
        <w:rPr>
          <w:rFonts w:ascii="Arial" w:hAnsi="Arial" w:cs="Arial"/>
          <w:color w:val="000000"/>
        </w:rPr>
        <w:t>introduction of</w:t>
      </w:r>
      <w:r w:rsidR="00A14868" w:rsidRPr="00504456">
        <w:rPr>
          <w:rFonts w:ascii="Arial" w:hAnsi="Arial" w:cs="Arial"/>
          <w:color w:val="000000"/>
        </w:rPr>
        <w:t xml:space="preserve"> a $250 per day ATM withdrawal limit for </w:t>
      </w:r>
      <w:proofErr w:type="spellStart"/>
      <w:r w:rsidR="00A14868" w:rsidRPr="00504456">
        <w:rPr>
          <w:rFonts w:ascii="Arial" w:hAnsi="Arial" w:cs="Arial"/>
          <w:color w:val="000000"/>
        </w:rPr>
        <w:t>EGM</w:t>
      </w:r>
      <w:proofErr w:type="spellEnd"/>
      <w:r w:rsidR="00A14868" w:rsidRPr="00504456">
        <w:rPr>
          <w:rFonts w:ascii="Arial" w:hAnsi="Arial" w:cs="Arial"/>
          <w:color w:val="000000"/>
        </w:rPr>
        <w:t xml:space="preserve"> premises from 1 February 2014, excluding casinos</w:t>
      </w:r>
    </w:p>
    <w:p w:rsidR="00A14868" w:rsidRPr="00504456" w:rsidRDefault="008024FE" w:rsidP="00FA67E4">
      <w:pPr>
        <w:numPr>
          <w:ilvl w:val="0"/>
          <w:numId w:val="26"/>
        </w:numPr>
        <w:rPr>
          <w:rFonts w:ascii="Arial" w:hAnsi="Arial" w:cs="Arial"/>
          <w:color w:val="000000"/>
        </w:rPr>
      </w:pPr>
      <w:proofErr w:type="gramStart"/>
      <w:r w:rsidRPr="00504456">
        <w:rPr>
          <w:rFonts w:ascii="Arial" w:hAnsi="Arial" w:cs="Arial"/>
          <w:color w:val="000000"/>
        </w:rPr>
        <w:t>establishment</w:t>
      </w:r>
      <w:proofErr w:type="gramEnd"/>
      <w:r w:rsidRPr="00504456">
        <w:rPr>
          <w:rFonts w:ascii="Arial" w:hAnsi="Arial" w:cs="Arial"/>
          <w:color w:val="000000"/>
        </w:rPr>
        <w:t xml:space="preserve"> of</w:t>
      </w:r>
      <w:r w:rsidR="00A14868" w:rsidRPr="00504456">
        <w:rPr>
          <w:rFonts w:ascii="Arial" w:hAnsi="Arial" w:cs="Arial"/>
          <w:color w:val="000000"/>
        </w:rPr>
        <w:t xml:space="preserve"> a </w:t>
      </w:r>
      <w:r w:rsidR="009161A2" w:rsidRPr="00504456">
        <w:rPr>
          <w:rFonts w:ascii="Arial" w:hAnsi="Arial" w:cs="Arial"/>
          <w:color w:val="000000"/>
        </w:rPr>
        <w:t>regulator</w:t>
      </w:r>
      <w:r w:rsidR="00A14868" w:rsidRPr="00504456">
        <w:rPr>
          <w:rFonts w:ascii="Arial" w:hAnsi="Arial" w:cs="Arial"/>
          <w:color w:val="000000"/>
        </w:rPr>
        <w:t xml:space="preserve"> to monitor and investigate compliance with the legislation. The </w:t>
      </w:r>
      <w:r w:rsidR="005F31D5" w:rsidRPr="00504456">
        <w:rPr>
          <w:rFonts w:ascii="Arial" w:hAnsi="Arial" w:cs="Arial"/>
          <w:color w:val="000000"/>
        </w:rPr>
        <w:t>r</w:t>
      </w:r>
      <w:r w:rsidR="00A14868" w:rsidRPr="00504456">
        <w:rPr>
          <w:rFonts w:ascii="Arial" w:hAnsi="Arial" w:cs="Arial"/>
          <w:color w:val="000000"/>
        </w:rPr>
        <w:t>egulator will have the authority to initiate enforcement measures.</w:t>
      </w:r>
      <w:r w:rsidR="00EA5FBA" w:rsidRPr="00504456">
        <w:rPr>
          <w:rFonts w:ascii="Arial" w:hAnsi="Arial" w:cs="Arial"/>
          <w:color w:val="000000"/>
        </w:rPr>
        <w:t xml:space="preserve"> </w:t>
      </w:r>
    </w:p>
    <w:p w:rsidR="002030A3" w:rsidRPr="00504456" w:rsidRDefault="002030A3" w:rsidP="00CA12E1">
      <w:pPr>
        <w:rPr>
          <w:rFonts w:ascii="Arial" w:hAnsi="Arial" w:cs="Arial"/>
          <w:color w:val="000000"/>
        </w:rPr>
      </w:pPr>
    </w:p>
    <w:p w:rsidR="00666E63" w:rsidRPr="00504456" w:rsidRDefault="002030A3" w:rsidP="00CA12E1">
      <w:pPr>
        <w:rPr>
          <w:rFonts w:ascii="Arial" w:hAnsi="Arial" w:cs="Arial"/>
          <w:color w:val="000000"/>
        </w:rPr>
      </w:pPr>
      <w:r w:rsidRPr="00504456">
        <w:rPr>
          <w:rFonts w:ascii="Arial" w:hAnsi="Arial" w:cs="Arial"/>
          <w:color w:val="000000"/>
        </w:rPr>
        <w:t xml:space="preserve">The current </w:t>
      </w:r>
      <w:r w:rsidR="001004FE" w:rsidRPr="00504456">
        <w:rPr>
          <w:rFonts w:ascii="Arial" w:hAnsi="Arial" w:cs="Arial"/>
          <w:color w:val="000000"/>
        </w:rPr>
        <w:t>Australian</w:t>
      </w:r>
      <w:r w:rsidR="00666E63" w:rsidRPr="00504456">
        <w:rPr>
          <w:rFonts w:ascii="Arial" w:hAnsi="Arial" w:cs="Arial"/>
          <w:color w:val="000000"/>
        </w:rPr>
        <w:t xml:space="preserve"> Government intends to amend these reforms to reflect the following policy positions</w:t>
      </w:r>
      <w:r w:rsidRPr="00504456">
        <w:rPr>
          <w:rFonts w:ascii="Arial" w:hAnsi="Arial" w:cs="Arial"/>
          <w:color w:val="000000"/>
        </w:rPr>
        <w:t>:</w:t>
      </w:r>
      <w:r w:rsidR="00A241A6" w:rsidRPr="00504456">
        <w:rPr>
          <w:rStyle w:val="FootnoteReference"/>
          <w:rFonts w:ascii="Arial" w:hAnsi="Arial" w:cs="Arial"/>
          <w:color w:val="000000"/>
        </w:rPr>
        <w:footnoteReference w:id="34"/>
      </w:r>
      <w:r w:rsidRPr="00504456">
        <w:rPr>
          <w:rFonts w:ascii="Arial" w:hAnsi="Arial" w:cs="Arial"/>
          <w:color w:val="000000"/>
        </w:rPr>
        <w:t xml:space="preserve"> </w:t>
      </w:r>
    </w:p>
    <w:p w:rsidR="00752933" w:rsidRPr="00504456" w:rsidRDefault="002412E8" w:rsidP="00036CC5">
      <w:pPr>
        <w:numPr>
          <w:ilvl w:val="0"/>
          <w:numId w:val="26"/>
        </w:numPr>
        <w:rPr>
          <w:rFonts w:ascii="Arial" w:hAnsi="Arial" w:cs="Arial"/>
          <w:color w:val="000000"/>
        </w:rPr>
      </w:pPr>
      <w:r w:rsidRPr="00504456">
        <w:rPr>
          <w:rFonts w:ascii="Arial" w:hAnsi="Arial" w:cs="Arial"/>
          <w:color w:val="000000"/>
        </w:rPr>
        <w:t>end</w:t>
      </w:r>
      <w:r w:rsidR="00666E63" w:rsidRPr="00504456">
        <w:rPr>
          <w:rFonts w:ascii="Arial" w:hAnsi="Arial" w:cs="Arial"/>
          <w:color w:val="000000"/>
        </w:rPr>
        <w:t xml:space="preserve"> the proposed mandatory pre-commitment trial in the ACT</w:t>
      </w:r>
      <w:r w:rsidR="00752933" w:rsidRPr="00504456">
        <w:rPr>
          <w:rFonts w:ascii="Arial" w:hAnsi="Arial" w:cs="Arial"/>
          <w:color w:val="000000"/>
        </w:rPr>
        <w:t xml:space="preserve"> </w:t>
      </w:r>
    </w:p>
    <w:p w:rsidR="00666E63" w:rsidRPr="00504456" w:rsidRDefault="00752933" w:rsidP="00036CC5">
      <w:pPr>
        <w:numPr>
          <w:ilvl w:val="0"/>
          <w:numId w:val="26"/>
        </w:numPr>
        <w:rPr>
          <w:rFonts w:ascii="Arial" w:hAnsi="Arial" w:cs="Arial"/>
          <w:color w:val="000000"/>
        </w:rPr>
      </w:pPr>
      <w:r w:rsidRPr="00504456">
        <w:rPr>
          <w:rFonts w:ascii="Arial" w:hAnsi="Arial" w:cs="Arial"/>
          <w:color w:val="000000"/>
        </w:rPr>
        <w:t xml:space="preserve">abolish the </w:t>
      </w:r>
      <w:r w:rsidR="002412E8" w:rsidRPr="00504456">
        <w:rPr>
          <w:rFonts w:ascii="Arial" w:hAnsi="Arial" w:cs="Arial"/>
          <w:color w:val="000000"/>
        </w:rPr>
        <w:t>supervisory levy</w:t>
      </w:r>
    </w:p>
    <w:p w:rsidR="00A13EC8" w:rsidRPr="00504456" w:rsidRDefault="002412E8" w:rsidP="00036CC5">
      <w:pPr>
        <w:numPr>
          <w:ilvl w:val="0"/>
          <w:numId w:val="26"/>
        </w:numPr>
        <w:rPr>
          <w:rFonts w:ascii="Arial" w:hAnsi="Arial" w:cs="Arial"/>
          <w:color w:val="000000"/>
        </w:rPr>
      </w:pPr>
      <w:r w:rsidRPr="00504456">
        <w:rPr>
          <w:rFonts w:ascii="Arial" w:hAnsi="Arial" w:cs="Arial"/>
          <w:color w:val="000000"/>
        </w:rPr>
        <w:t xml:space="preserve">end </w:t>
      </w:r>
      <w:r w:rsidR="00666E63" w:rsidRPr="00504456">
        <w:rPr>
          <w:rFonts w:ascii="Arial" w:hAnsi="Arial" w:cs="Arial"/>
          <w:color w:val="000000"/>
        </w:rPr>
        <w:t xml:space="preserve">the requirement for new </w:t>
      </w:r>
      <w:proofErr w:type="spellStart"/>
      <w:r w:rsidR="00666E63" w:rsidRPr="00504456">
        <w:rPr>
          <w:rFonts w:ascii="Arial" w:hAnsi="Arial" w:cs="Arial"/>
          <w:color w:val="000000"/>
        </w:rPr>
        <w:t>EMGs</w:t>
      </w:r>
      <w:proofErr w:type="spellEnd"/>
      <w:r w:rsidR="00666E63" w:rsidRPr="00504456">
        <w:rPr>
          <w:rFonts w:ascii="Arial" w:hAnsi="Arial" w:cs="Arial"/>
          <w:color w:val="000000"/>
        </w:rPr>
        <w:t xml:space="preserve"> to have man</w:t>
      </w:r>
      <w:r w:rsidR="00A13EC8" w:rsidRPr="00504456">
        <w:rPr>
          <w:rFonts w:ascii="Arial" w:hAnsi="Arial" w:cs="Arial"/>
          <w:color w:val="000000"/>
        </w:rPr>
        <w:t>datory pre-commitment capacity</w:t>
      </w:r>
    </w:p>
    <w:p w:rsidR="00666E63" w:rsidRPr="00504456" w:rsidRDefault="00A13EC8" w:rsidP="00036CC5">
      <w:pPr>
        <w:numPr>
          <w:ilvl w:val="0"/>
          <w:numId w:val="26"/>
        </w:numPr>
        <w:rPr>
          <w:rFonts w:ascii="Arial" w:hAnsi="Arial" w:cs="Arial"/>
          <w:color w:val="000000"/>
        </w:rPr>
      </w:pPr>
      <w:r w:rsidRPr="00504456">
        <w:rPr>
          <w:rFonts w:ascii="Arial" w:hAnsi="Arial" w:cs="Arial"/>
          <w:color w:val="000000"/>
        </w:rPr>
        <w:t xml:space="preserve">support for a voluntary pre-commitment program for </w:t>
      </w:r>
      <w:proofErr w:type="spellStart"/>
      <w:r w:rsidRPr="00504456">
        <w:rPr>
          <w:rFonts w:ascii="Arial" w:hAnsi="Arial" w:cs="Arial"/>
          <w:color w:val="000000"/>
        </w:rPr>
        <w:t>EGMs</w:t>
      </w:r>
      <w:proofErr w:type="spellEnd"/>
    </w:p>
    <w:p w:rsidR="00666E63" w:rsidRPr="00504456" w:rsidRDefault="00666E63" w:rsidP="00036CC5">
      <w:pPr>
        <w:numPr>
          <w:ilvl w:val="0"/>
          <w:numId w:val="26"/>
        </w:numPr>
        <w:rPr>
          <w:rFonts w:ascii="Arial" w:hAnsi="Arial" w:cs="Arial"/>
          <w:color w:val="000000"/>
        </w:rPr>
      </w:pPr>
      <w:r w:rsidRPr="00504456">
        <w:rPr>
          <w:rFonts w:ascii="Arial" w:hAnsi="Arial" w:cs="Arial"/>
          <w:color w:val="000000"/>
        </w:rPr>
        <w:lastRenderedPageBreak/>
        <w:t xml:space="preserve">establish an industry advisory council, comprised of representatives of clubs and gaming venues, that will meet quarterly with the responsible Minister </w:t>
      </w:r>
    </w:p>
    <w:p w:rsidR="00666E63" w:rsidRPr="00504456" w:rsidRDefault="00666E63" w:rsidP="00036CC5">
      <w:pPr>
        <w:numPr>
          <w:ilvl w:val="0"/>
          <w:numId w:val="26"/>
        </w:numPr>
        <w:rPr>
          <w:rFonts w:ascii="Arial" w:hAnsi="Arial" w:cs="Arial"/>
          <w:color w:val="000000"/>
        </w:rPr>
      </w:pPr>
      <w:r w:rsidRPr="00504456">
        <w:rPr>
          <w:rFonts w:ascii="Arial" w:hAnsi="Arial" w:cs="Arial"/>
          <w:color w:val="000000"/>
        </w:rPr>
        <w:t xml:space="preserve">encourage venues to partner with counselling services to assist patrons with problem gambling </w:t>
      </w:r>
    </w:p>
    <w:p w:rsidR="00666E63" w:rsidRPr="00504456" w:rsidRDefault="00666E63" w:rsidP="00036CC5">
      <w:pPr>
        <w:numPr>
          <w:ilvl w:val="0"/>
          <w:numId w:val="26"/>
        </w:numPr>
        <w:rPr>
          <w:rFonts w:ascii="Arial" w:hAnsi="Arial" w:cs="Arial"/>
          <w:color w:val="000000"/>
        </w:rPr>
      </w:pPr>
      <w:r w:rsidRPr="00504456">
        <w:rPr>
          <w:rFonts w:ascii="Arial" w:hAnsi="Arial" w:cs="Arial"/>
          <w:color w:val="000000"/>
        </w:rPr>
        <w:t>work with the States and to develop self-exclusion programs</w:t>
      </w:r>
    </w:p>
    <w:p w:rsidR="00666E63" w:rsidRPr="00504456" w:rsidRDefault="00666E63" w:rsidP="00036CC5">
      <w:pPr>
        <w:numPr>
          <w:ilvl w:val="0"/>
          <w:numId w:val="26"/>
        </w:numPr>
        <w:rPr>
          <w:rFonts w:ascii="Arial" w:hAnsi="Arial" w:cs="Arial"/>
          <w:color w:val="000000"/>
        </w:rPr>
      </w:pPr>
      <w:r w:rsidRPr="00504456">
        <w:rPr>
          <w:rFonts w:ascii="Arial" w:hAnsi="Arial" w:cs="Arial"/>
          <w:color w:val="000000"/>
        </w:rPr>
        <w:t>introduce legislation to prohibit extending lines of credit to problem gamblers</w:t>
      </w:r>
    </w:p>
    <w:p w:rsidR="00905E32" w:rsidRPr="00504456" w:rsidRDefault="00905E32" w:rsidP="00A13EC8">
      <w:pPr>
        <w:rPr>
          <w:rFonts w:ascii="Arial" w:hAnsi="Arial" w:cs="Arial"/>
          <w:color w:val="000000"/>
        </w:rPr>
      </w:pPr>
    </w:p>
    <w:p w:rsidR="00A13EC8" w:rsidRPr="00504456" w:rsidRDefault="00A13EC8" w:rsidP="00A13EC8">
      <w:pPr>
        <w:rPr>
          <w:rFonts w:ascii="Arial" w:hAnsi="Arial" w:cs="Arial"/>
          <w:color w:val="000000"/>
        </w:rPr>
      </w:pPr>
      <w:r w:rsidRPr="00504456">
        <w:rPr>
          <w:rFonts w:ascii="Arial" w:hAnsi="Arial" w:cs="Arial"/>
          <w:color w:val="000000"/>
        </w:rPr>
        <w:t xml:space="preserve">At the time of the adoption of this Responsible Gambling Policy 2013-18, changes to the </w:t>
      </w:r>
      <w:r w:rsidRPr="00504456">
        <w:rPr>
          <w:rFonts w:ascii="Arial" w:hAnsi="Arial" w:cs="Arial"/>
          <w:i/>
          <w:color w:val="000000"/>
        </w:rPr>
        <w:t>National Gambling Reform Acts</w:t>
      </w:r>
      <w:r w:rsidRPr="00504456">
        <w:rPr>
          <w:rFonts w:ascii="Arial" w:hAnsi="Arial" w:cs="Arial"/>
          <w:color w:val="000000"/>
        </w:rPr>
        <w:t xml:space="preserve"> had not been implemented by the </w:t>
      </w:r>
      <w:r w:rsidR="00416B82" w:rsidRPr="00504456">
        <w:rPr>
          <w:rFonts w:ascii="Arial" w:hAnsi="Arial" w:cs="Arial"/>
          <w:color w:val="000000"/>
        </w:rPr>
        <w:t xml:space="preserve">Australian </w:t>
      </w:r>
      <w:r w:rsidRPr="00504456">
        <w:rPr>
          <w:rFonts w:ascii="Arial" w:hAnsi="Arial" w:cs="Arial"/>
          <w:color w:val="000000"/>
        </w:rPr>
        <w:t xml:space="preserve">Government and they remain the national legislative framework. </w:t>
      </w:r>
    </w:p>
    <w:p w:rsidR="002030A3" w:rsidRPr="00504456" w:rsidRDefault="002030A3" w:rsidP="00666E63">
      <w:pPr>
        <w:pStyle w:val="ListParagraph"/>
        <w:rPr>
          <w:rFonts w:ascii="Arial" w:hAnsi="Arial" w:cs="Arial"/>
        </w:rPr>
      </w:pPr>
    </w:p>
    <w:p w:rsidR="00A14868" w:rsidRPr="00504456" w:rsidRDefault="00BF74CC" w:rsidP="00A14868">
      <w:pPr>
        <w:pStyle w:val="Heading3"/>
        <w:rPr>
          <w:sz w:val="24"/>
          <w:szCs w:val="24"/>
        </w:rPr>
      </w:pPr>
      <w:bookmarkStart w:id="24" w:name="_Toc355356463"/>
      <w:bookmarkStart w:id="25" w:name="_Toc372787029"/>
      <w:r w:rsidRPr="00504456">
        <w:rPr>
          <w:sz w:val="24"/>
          <w:szCs w:val="24"/>
        </w:rPr>
        <w:t>Victorian Government</w:t>
      </w:r>
      <w:bookmarkEnd w:id="24"/>
      <w:bookmarkEnd w:id="25"/>
    </w:p>
    <w:p w:rsidR="00A14868" w:rsidRPr="00504456" w:rsidRDefault="00F768F4" w:rsidP="00A14868">
      <w:pPr>
        <w:rPr>
          <w:rFonts w:ascii="Arial" w:hAnsi="Arial" w:cs="Arial"/>
          <w:color w:val="000000"/>
        </w:rPr>
      </w:pPr>
      <w:r w:rsidRPr="00504456">
        <w:rPr>
          <w:rFonts w:ascii="Arial" w:hAnsi="Arial" w:cs="Arial"/>
        </w:rPr>
        <w:t xml:space="preserve">As mentioned previously, </w:t>
      </w:r>
      <w:proofErr w:type="spellStart"/>
      <w:r w:rsidR="00A14868" w:rsidRPr="00504456">
        <w:rPr>
          <w:rFonts w:ascii="Arial" w:hAnsi="Arial" w:cs="Arial"/>
        </w:rPr>
        <w:t>EGM</w:t>
      </w:r>
      <w:proofErr w:type="spellEnd"/>
      <w:r w:rsidR="00A14868" w:rsidRPr="00504456">
        <w:rPr>
          <w:rFonts w:ascii="Arial" w:hAnsi="Arial" w:cs="Arial"/>
        </w:rPr>
        <w:t xml:space="preserve"> use </w:t>
      </w:r>
      <w:r w:rsidRPr="00504456">
        <w:rPr>
          <w:rFonts w:ascii="Arial" w:hAnsi="Arial" w:cs="Arial"/>
        </w:rPr>
        <w:t xml:space="preserve">in Victoria </w:t>
      </w:r>
      <w:r w:rsidR="00A14868" w:rsidRPr="00504456">
        <w:rPr>
          <w:rFonts w:ascii="Arial" w:hAnsi="Arial" w:cs="Arial"/>
        </w:rPr>
        <w:t xml:space="preserve">requires two permissions - a gaming </w:t>
      </w:r>
      <w:proofErr w:type="spellStart"/>
      <w:r w:rsidR="00A14868" w:rsidRPr="00504456">
        <w:rPr>
          <w:rFonts w:ascii="Arial" w:hAnsi="Arial" w:cs="Arial"/>
        </w:rPr>
        <w:t>licence</w:t>
      </w:r>
      <w:proofErr w:type="spellEnd"/>
      <w:r w:rsidR="00A14868" w:rsidRPr="00504456">
        <w:rPr>
          <w:rFonts w:ascii="Arial" w:hAnsi="Arial" w:cs="Arial"/>
        </w:rPr>
        <w:t xml:space="preserve"> from the </w:t>
      </w:r>
      <w:proofErr w:type="spellStart"/>
      <w:r w:rsidR="00A14868" w:rsidRPr="00504456">
        <w:rPr>
          <w:rFonts w:ascii="Arial" w:hAnsi="Arial" w:cs="Arial"/>
        </w:rPr>
        <w:t>VCGLR</w:t>
      </w:r>
      <w:proofErr w:type="spellEnd"/>
      <w:r w:rsidR="00A14868" w:rsidRPr="00504456">
        <w:rPr>
          <w:rFonts w:ascii="Arial" w:hAnsi="Arial" w:cs="Arial"/>
        </w:rPr>
        <w:t xml:space="preserve"> and a planning permit from the local authority. </w:t>
      </w:r>
      <w:r w:rsidR="00A14868" w:rsidRPr="00504456">
        <w:rPr>
          <w:rFonts w:ascii="Arial" w:hAnsi="Arial" w:cs="Arial"/>
          <w:color w:val="000000"/>
        </w:rPr>
        <w:t>The Victorian Government provisions governing the conduct of gaming that are most significant to Council are set out in the following legislation:</w:t>
      </w:r>
    </w:p>
    <w:p w:rsidR="00A14868" w:rsidRPr="00504456" w:rsidRDefault="00A14868" w:rsidP="00A14868">
      <w:pPr>
        <w:numPr>
          <w:ilvl w:val="0"/>
          <w:numId w:val="13"/>
        </w:numPr>
        <w:rPr>
          <w:rFonts w:ascii="Arial" w:hAnsi="Arial" w:cs="Arial"/>
          <w:i/>
          <w:color w:val="000000"/>
        </w:rPr>
      </w:pPr>
      <w:r w:rsidRPr="00504456">
        <w:rPr>
          <w:rFonts w:ascii="Arial" w:hAnsi="Arial" w:cs="Arial"/>
          <w:i/>
          <w:color w:val="000000"/>
        </w:rPr>
        <w:t>Gambling Regulation Act 2003</w:t>
      </w:r>
    </w:p>
    <w:p w:rsidR="00A14868" w:rsidRPr="00504456" w:rsidRDefault="00A14868" w:rsidP="00A14868">
      <w:pPr>
        <w:numPr>
          <w:ilvl w:val="0"/>
          <w:numId w:val="13"/>
        </w:numPr>
        <w:rPr>
          <w:rFonts w:ascii="Arial" w:hAnsi="Arial" w:cs="Arial"/>
          <w:i/>
          <w:color w:val="000000"/>
        </w:rPr>
      </w:pPr>
      <w:r w:rsidRPr="00504456">
        <w:rPr>
          <w:rFonts w:ascii="Arial" w:hAnsi="Arial" w:cs="Arial"/>
          <w:i/>
          <w:color w:val="000000"/>
        </w:rPr>
        <w:t>Planning and Environment Act 1987</w:t>
      </w:r>
    </w:p>
    <w:p w:rsidR="00A14868" w:rsidRPr="00504456" w:rsidRDefault="00A14868" w:rsidP="0061584A">
      <w:pPr>
        <w:numPr>
          <w:ilvl w:val="0"/>
          <w:numId w:val="13"/>
        </w:numPr>
        <w:rPr>
          <w:rFonts w:ascii="Arial" w:hAnsi="Arial" w:cs="Arial"/>
          <w:i/>
          <w:color w:val="000000"/>
        </w:rPr>
      </w:pPr>
      <w:r w:rsidRPr="00504456">
        <w:rPr>
          <w:rFonts w:ascii="Arial" w:hAnsi="Arial" w:cs="Arial"/>
          <w:i/>
          <w:color w:val="000000"/>
        </w:rPr>
        <w:t>Local Government Act 1989</w:t>
      </w:r>
    </w:p>
    <w:p w:rsidR="006B6BE9" w:rsidRPr="00504456" w:rsidRDefault="006B6BE9" w:rsidP="006B6BE9">
      <w:pPr>
        <w:ind w:left="360"/>
        <w:rPr>
          <w:rFonts w:ascii="Arial" w:hAnsi="Arial" w:cs="Arial"/>
          <w:i/>
          <w:color w:val="000000"/>
        </w:rPr>
      </w:pPr>
    </w:p>
    <w:p w:rsidR="00A14868" w:rsidRPr="00504456" w:rsidRDefault="00A14868" w:rsidP="00036CC5">
      <w:pPr>
        <w:numPr>
          <w:ilvl w:val="0"/>
          <w:numId w:val="36"/>
        </w:numPr>
        <w:ind w:left="426"/>
        <w:rPr>
          <w:rFonts w:ascii="Arial" w:hAnsi="Arial" w:cs="Arial"/>
        </w:rPr>
      </w:pPr>
      <w:bookmarkStart w:id="26" w:name="_Toc355356464"/>
      <w:bookmarkStart w:id="27" w:name="_Toc355356806"/>
      <w:bookmarkStart w:id="28" w:name="_Toc355613987"/>
      <w:r w:rsidRPr="00504456">
        <w:rPr>
          <w:rFonts w:ascii="Arial" w:hAnsi="Arial" w:cs="Arial"/>
          <w:i/>
          <w:u w:val="single"/>
        </w:rPr>
        <w:t>Gambling Regulation Act 2003</w:t>
      </w:r>
      <w:r w:rsidRPr="00504456">
        <w:rPr>
          <w:rFonts w:ascii="Arial" w:hAnsi="Arial" w:cs="Arial"/>
        </w:rPr>
        <w:t xml:space="preserve"> -</w:t>
      </w:r>
      <w:bookmarkEnd w:id="26"/>
      <w:bookmarkEnd w:id="27"/>
      <w:bookmarkEnd w:id="28"/>
      <w:r w:rsidRPr="00504456">
        <w:rPr>
          <w:rFonts w:ascii="Arial" w:hAnsi="Arial" w:cs="Arial"/>
        </w:rPr>
        <w:t xml:space="preserve"> </w:t>
      </w:r>
      <w:bookmarkStart w:id="29" w:name="_Toc355356465"/>
      <w:bookmarkStart w:id="30" w:name="_Toc355356807"/>
      <w:bookmarkStart w:id="31" w:name="_Toc355613988"/>
      <w:r w:rsidRPr="00504456">
        <w:rPr>
          <w:rFonts w:ascii="Arial" w:hAnsi="Arial" w:cs="Arial"/>
        </w:rPr>
        <w:t xml:space="preserve">The </w:t>
      </w:r>
      <w:r w:rsidRPr="00504456">
        <w:rPr>
          <w:rFonts w:ascii="Arial" w:hAnsi="Arial" w:cs="Arial"/>
          <w:i/>
        </w:rPr>
        <w:t>Gambling Regulation Act 2003</w:t>
      </w:r>
      <w:r w:rsidRPr="00504456">
        <w:rPr>
          <w:rFonts w:ascii="Arial" w:hAnsi="Arial" w:cs="Arial"/>
        </w:rPr>
        <w:t xml:space="preserve"> (the </w:t>
      </w:r>
      <w:r w:rsidR="000F07FC" w:rsidRPr="00504456">
        <w:rPr>
          <w:rFonts w:ascii="Arial" w:hAnsi="Arial" w:cs="Arial"/>
        </w:rPr>
        <w:t>Gambling Act</w:t>
      </w:r>
      <w:r w:rsidRPr="00504456">
        <w:rPr>
          <w:rFonts w:ascii="Arial" w:hAnsi="Arial" w:cs="Arial"/>
        </w:rPr>
        <w:t xml:space="preserve">) re-enacts and consolidates laws relating to various forms of gambling in Victoria and establishes a range of powers and authorities on gambling. The </w:t>
      </w:r>
      <w:r w:rsidR="000F07FC" w:rsidRPr="00504456">
        <w:rPr>
          <w:rFonts w:ascii="Arial" w:hAnsi="Arial" w:cs="Arial"/>
        </w:rPr>
        <w:t>Gambling Act</w:t>
      </w:r>
      <w:r w:rsidRPr="00504456">
        <w:rPr>
          <w:rFonts w:ascii="Arial" w:hAnsi="Arial" w:cs="Arial"/>
        </w:rPr>
        <w:t xml:space="preserve"> identifies that gambling has both positive and negative impacts on the community.</w:t>
      </w:r>
      <w:bookmarkEnd w:id="29"/>
      <w:bookmarkEnd w:id="30"/>
      <w:bookmarkEnd w:id="31"/>
      <w:r w:rsidRPr="00504456">
        <w:rPr>
          <w:rFonts w:ascii="Arial" w:hAnsi="Arial" w:cs="Arial"/>
        </w:rPr>
        <w:t xml:space="preserve"> </w:t>
      </w:r>
      <w:bookmarkStart w:id="32" w:name="_Toc355356466"/>
      <w:bookmarkStart w:id="33" w:name="_Toc355356643"/>
      <w:bookmarkStart w:id="34" w:name="_Toc355356808"/>
      <w:bookmarkStart w:id="35" w:name="_Toc355613989"/>
      <w:bookmarkStart w:id="36" w:name="_Toc355356467"/>
      <w:bookmarkStart w:id="37" w:name="_Toc355356809"/>
      <w:bookmarkStart w:id="38" w:name="_Toc355613990"/>
      <w:bookmarkEnd w:id="32"/>
      <w:bookmarkEnd w:id="33"/>
      <w:bookmarkEnd w:id="34"/>
      <w:bookmarkEnd w:id="35"/>
      <w:r w:rsidRPr="00504456">
        <w:rPr>
          <w:rFonts w:ascii="Arial" w:hAnsi="Arial" w:cs="Arial"/>
        </w:rPr>
        <w:t xml:space="preserve">The main objectives of the </w:t>
      </w:r>
      <w:r w:rsidR="000F07FC" w:rsidRPr="00504456">
        <w:rPr>
          <w:rFonts w:ascii="Arial" w:hAnsi="Arial" w:cs="Arial"/>
        </w:rPr>
        <w:t>Gambling Act</w:t>
      </w:r>
      <w:r w:rsidRPr="00504456">
        <w:rPr>
          <w:rFonts w:ascii="Arial" w:hAnsi="Arial" w:cs="Arial"/>
        </w:rPr>
        <w:t xml:space="preserve"> (under Section 1.1 (2)) are:</w:t>
      </w:r>
      <w:bookmarkEnd w:id="36"/>
      <w:bookmarkEnd w:id="37"/>
      <w:bookmarkEnd w:id="38"/>
    </w:p>
    <w:p w:rsidR="00A14868" w:rsidRPr="00504456" w:rsidRDefault="00BF74CC" w:rsidP="00A14868">
      <w:pPr>
        <w:numPr>
          <w:ilvl w:val="0"/>
          <w:numId w:val="14"/>
        </w:numPr>
        <w:ind w:right="1353"/>
        <w:rPr>
          <w:rFonts w:ascii="Arial" w:hAnsi="Arial" w:cs="Arial"/>
          <w:color w:val="000000"/>
        </w:rPr>
      </w:pPr>
      <w:r w:rsidRPr="00504456">
        <w:rPr>
          <w:rFonts w:ascii="Arial" w:hAnsi="Arial" w:cs="Arial"/>
          <w:color w:val="000000"/>
        </w:rPr>
        <w:t xml:space="preserve">to foster responsible gambling in order to - </w:t>
      </w:r>
    </w:p>
    <w:p w:rsidR="00A14868" w:rsidRPr="00504456" w:rsidRDefault="00BF74CC" w:rsidP="00A14868">
      <w:pPr>
        <w:numPr>
          <w:ilvl w:val="1"/>
          <w:numId w:val="14"/>
        </w:numPr>
        <w:ind w:right="1353"/>
        <w:rPr>
          <w:rFonts w:ascii="Arial" w:hAnsi="Arial" w:cs="Arial"/>
          <w:color w:val="000000"/>
        </w:rPr>
      </w:pPr>
      <w:proofErr w:type="spellStart"/>
      <w:r w:rsidRPr="00504456">
        <w:rPr>
          <w:rFonts w:ascii="Arial" w:hAnsi="Arial" w:cs="Arial"/>
          <w:color w:val="000000"/>
        </w:rPr>
        <w:t>minimise</w:t>
      </w:r>
      <w:proofErr w:type="spellEnd"/>
      <w:r w:rsidRPr="00504456">
        <w:rPr>
          <w:rFonts w:ascii="Arial" w:hAnsi="Arial" w:cs="Arial"/>
          <w:color w:val="000000"/>
        </w:rPr>
        <w:t xml:space="preserve"> harm caused by problem gambling; and</w:t>
      </w:r>
    </w:p>
    <w:p w:rsidR="00A14868" w:rsidRPr="00504456" w:rsidRDefault="00BF74CC" w:rsidP="00A14868">
      <w:pPr>
        <w:numPr>
          <w:ilvl w:val="1"/>
          <w:numId w:val="14"/>
        </w:numPr>
        <w:ind w:right="1353"/>
        <w:rPr>
          <w:rFonts w:ascii="Arial" w:hAnsi="Arial" w:cs="Arial"/>
          <w:color w:val="000000"/>
        </w:rPr>
      </w:pPr>
      <w:r w:rsidRPr="00504456">
        <w:rPr>
          <w:rFonts w:ascii="Arial" w:hAnsi="Arial" w:cs="Arial"/>
          <w:color w:val="000000"/>
        </w:rPr>
        <w:t>accommodate those who gamble without harming themselves or others;</w:t>
      </w:r>
    </w:p>
    <w:p w:rsidR="00A14868" w:rsidRPr="00504456" w:rsidRDefault="00BF74CC" w:rsidP="00036CC5">
      <w:pPr>
        <w:numPr>
          <w:ilvl w:val="0"/>
          <w:numId w:val="23"/>
        </w:numPr>
        <w:ind w:right="1353"/>
        <w:rPr>
          <w:rFonts w:ascii="Arial" w:hAnsi="Arial" w:cs="Arial"/>
          <w:color w:val="000000"/>
        </w:rPr>
      </w:pPr>
      <w:proofErr w:type="gramStart"/>
      <w:r w:rsidRPr="00504456">
        <w:rPr>
          <w:rFonts w:ascii="Arial" w:hAnsi="Arial" w:cs="Arial"/>
          <w:color w:val="000000"/>
        </w:rPr>
        <w:t>to</w:t>
      </w:r>
      <w:proofErr w:type="gramEnd"/>
      <w:r w:rsidRPr="00504456">
        <w:rPr>
          <w:rFonts w:ascii="Arial" w:hAnsi="Arial" w:cs="Arial"/>
          <w:color w:val="000000"/>
        </w:rPr>
        <w:t xml:space="preserve"> </w:t>
      </w:r>
      <w:r w:rsidR="005E4597" w:rsidRPr="00504456">
        <w:rPr>
          <w:rFonts w:ascii="Arial" w:hAnsi="Arial" w:cs="Arial"/>
          <w:color w:val="000000"/>
        </w:rPr>
        <w:t>promote</w:t>
      </w:r>
      <w:r w:rsidR="00B555E4" w:rsidRPr="00504456">
        <w:rPr>
          <w:rFonts w:ascii="Arial" w:hAnsi="Arial" w:cs="Arial"/>
          <w:color w:val="000000"/>
        </w:rPr>
        <w:t xml:space="preserve"> tourism</w:t>
      </w:r>
      <w:r w:rsidRPr="00504456">
        <w:rPr>
          <w:rFonts w:ascii="Arial" w:hAnsi="Arial" w:cs="Arial"/>
          <w:color w:val="000000"/>
        </w:rPr>
        <w:t>, employment and economic development generally in the State.</w:t>
      </w:r>
    </w:p>
    <w:p w:rsidR="00A14868" w:rsidRPr="00504456" w:rsidRDefault="00A14868" w:rsidP="00A14868">
      <w:pPr>
        <w:rPr>
          <w:rFonts w:ascii="Arial" w:hAnsi="Arial" w:cs="Arial"/>
          <w:color w:val="000000"/>
        </w:rPr>
      </w:pPr>
    </w:p>
    <w:p w:rsidR="00A14868" w:rsidRPr="00504456" w:rsidRDefault="00A14868" w:rsidP="00A14868">
      <w:pPr>
        <w:ind w:left="426"/>
        <w:rPr>
          <w:rFonts w:ascii="Arial" w:hAnsi="Arial" w:cs="Arial"/>
          <w:color w:val="000000"/>
        </w:rPr>
      </w:pPr>
      <w:r w:rsidRPr="00504456">
        <w:rPr>
          <w:rFonts w:ascii="Arial" w:hAnsi="Arial" w:cs="Arial"/>
          <w:color w:val="000000"/>
        </w:rPr>
        <w:t xml:space="preserve">The </w:t>
      </w:r>
      <w:proofErr w:type="spellStart"/>
      <w:r w:rsidRPr="00504456">
        <w:rPr>
          <w:rFonts w:ascii="Arial" w:hAnsi="Arial" w:cs="Arial"/>
          <w:color w:val="000000"/>
        </w:rPr>
        <w:t>VCGLR</w:t>
      </w:r>
      <w:proofErr w:type="spellEnd"/>
      <w:r w:rsidRPr="00504456">
        <w:rPr>
          <w:rFonts w:ascii="Arial" w:hAnsi="Arial" w:cs="Arial"/>
          <w:color w:val="000000"/>
        </w:rPr>
        <w:t xml:space="preserve"> is a public authority established under the </w:t>
      </w:r>
      <w:r w:rsidR="000F07FC" w:rsidRPr="00504456">
        <w:rPr>
          <w:rFonts w:ascii="Arial" w:hAnsi="Arial" w:cs="Arial"/>
          <w:color w:val="000000"/>
        </w:rPr>
        <w:t>Gambling Act</w:t>
      </w:r>
      <w:r w:rsidRPr="00504456">
        <w:rPr>
          <w:rFonts w:ascii="Arial" w:hAnsi="Arial" w:cs="Arial"/>
          <w:color w:val="000000"/>
        </w:rPr>
        <w:t xml:space="preserve">. Before </w:t>
      </w:r>
      <w:proofErr w:type="spellStart"/>
      <w:r w:rsidRPr="00504456">
        <w:rPr>
          <w:rFonts w:ascii="Arial" w:hAnsi="Arial" w:cs="Arial"/>
          <w:color w:val="000000"/>
        </w:rPr>
        <w:t>EGMs</w:t>
      </w:r>
      <w:proofErr w:type="spellEnd"/>
      <w:r w:rsidRPr="00504456">
        <w:rPr>
          <w:rFonts w:ascii="Arial" w:hAnsi="Arial" w:cs="Arial"/>
          <w:color w:val="000000"/>
        </w:rPr>
        <w:t xml:space="preserve"> can be installed in premises, the premises must be approved by the </w:t>
      </w:r>
      <w:proofErr w:type="spellStart"/>
      <w:r w:rsidRPr="00504456">
        <w:rPr>
          <w:rFonts w:ascii="Arial" w:hAnsi="Arial" w:cs="Arial"/>
          <w:color w:val="000000"/>
        </w:rPr>
        <w:t>VCGLR</w:t>
      </w:r>
      <w:proofErr w:type="spellEnd"/>
      <w:r w:rsidRPr="00504456">
        <w:rPr>
          <w:rFonts w:ascii="Arial" w:hAnsi="Arial" w:cs="Arial"/>
          <w:color w:val="000000"/>
        </w:rPr>
        <w:t xml:space="preserve"> as suitable for gaming (refer to </w:t>
      </w:r>
      <w:r w:rsidR="00276AC7" w:rsidRPr="00504456">
        <w:rPr>
          <w:rFonts w:ascii="Arial" w:hAnsi="Arial" w:cs="Arial"/>
          <w:color w:val="000000"/>
        </w:rPr>
        <w:t>p</w:t>
      </w:r>
      <w:r w:rsidRPr="00504456">
        <w:rPr>
          <w:rFonts w:ascii="Arial" w:hAnsi="Arial" w:cs="Arial"/>
          <w:color w:val="000000"/>
        </w:rPr>
        <w:t xml:space="preserve">art 3 of the </w:t>
      </w:r>
      <w:r w:rsidR="000F07FC" w:rsidRPr="00504456">
        <w:rPr>
          <w:rFonts w:ascii="Arial" w:hAnsi="Arial" w:cs="Arial"/>
          <w:color w:val="000000"/>
        </w:rPr>
        <w:t>Gambling Act</w:t>
      </w:r>
      <w:r w:rsidRPr="00504456">
        <w:rPr>
          <w:rFonts w:ascii="Arial" w:hAnsi="Arial" w:cs="Arial"/>
          <w:color w:val="000000"/>
        </w:rPr>
        <w:t xml:space="preserve">). </w:t>
      </w:r>
    </w:p>
    <w:p w:rsidR="00A14868" w:rsidRPr="00504456" w:rsidRDefault="00A14868" w:rsidP="00A14868">
      <w:pPr>
        <w:ind w:left="426"/>
        <w:rPr>
          <w:rFonts w:ascii="Arial" w:hAnsi="Arial" w:cs="Arial"/>
          <w:color w:val="000000"/>
        </w:rPr>
      </w:pPr>
    </w:p>
    <w:p w:rsidR="00A14868" w:rsidRPr="00504456" w:rsidRDefault="00A14868" w:rsidP="00A14868">
      <w:pPr>
        <w:ind w:left="426"/>
        <w:rPr>
          <w:rFonts w:ascii="Arial" w:hAnsi="Arial" w:cs="Arial"/>
          <w:color w:val="000000"/>
        </w:rPr>
      </w:pPr>
      <w:r w:rsidRPr="00504456">
        <w:rPr>
          <w:rFonts w:ascii="Arial" w:hAnsi="Arial" w:cs="Arial"/>
          <w:color w:val="000000"/>
        </w:rPr>
        <w:t xml:space="preserve">Pursuant to </w:t>
      </w:r>
      <w:r w:rsidR="00276AC7" w:rsidRPr="00504456">
        <w:rPr>
          <w:rFonts w:ascii="Arial" w:hAnsi="Arial" w:cs="Arial"/>
          <w:color w:val="000000"/>
        </w:rPr>
        <w:t>s</w:t>
      </w:r>
      <w:r w:rsidRPr="00504456">
        <w:rPr>
          <w:rFonts w:ascii="Arial" w:hAnsi="Arial" w:cs="Arial"/>
          <w:color w:val="000000"/>
        </w:rPr>
        <w:t xml:space="preserve">ections 3.3.6 and 3.4.19 of the </w:t>
      </w:r>
      <w:r w:rsidR="000F07FC" w:rsidRPr="00504456">
        <w:rPr>
          <w:rFonts w:ascii="Arial" w:hAnsi="Arial" w:cs="Arial"/>
          <w:color w:val="000000"/>
        </w:rPr>
        <w:t>Gambling Act</w:t>
      </w:r>
      <w:r w:rsidRPr="00504456">
        <w:rPr>
          <w:rFonts w:ascii="Arial" w:hAnsi="Arial" w:cs="Arial"/>
          <w:i/>
          <w:color w:val="000000"/>
        </w:rPr>
        <w:t xml:space="preserve">, </w:t>
      </w:r>
      <w:r w:rsidRPr="00504456">
        <w:rPr>
          <w:rFonts w:ascii="Arial" w:hAnsi="Arial" w:cs="Arial"/>
          <w:color w:val="000000"/>
        </w:rPr>
        <w:t xml:space="preserve">Council (as the relevant responsible authority) may make submissions to the </w:t>
      </w:r>
      <w:proofErr w:type="spellStart"/>
      <w:r w:rsidRPr="00504456">
        <w:rPr>
          <w:rFonts w:ascii="Arial" w:hAnsi="Arial" w:cs="Arial"/>
          <w:color w:val="000000"/>
        </w:rPr>
        <w:t>VCGLR</w:t>
      </w:r>
      <w:proofErr w:type="spellEnd"/>
      <w:r w:rsidRPr="00504456">
        <w:rPr>
          <w:rFonts w:ascii="Arial" w:hAnsi="Arial" w:cs="Arial"/>
          <w:color w:val="000000"/>
        </w:rPr>
        <w:t xml:space="preserve"> in respect of </w:t>
      </w:r>
      <w:r w:rsidR="00F81CA5" w:rsidRPr="00504456">
        <w:rPr>
          <w:rFonts w:ascii="Arial" w:hAnsi="Arial" w:cs="Arial"/>
          <w:color w:val="000000"/>
        </w:rPr>
        <w:t xml:space="preserve">gaming </w:t>
      </w:r>
      <w:proofErr w:type="spellStart"/>
      <w:r w:rsidR="00F81CA5" w:rsidRPr="00504456">
        <w:rPr>
          <w:rFonts w:ascii="Arial" w:hAnsi="Arial" w:cs="Arial"/>
          <w:color w:val="000000"/>
        </w:rPr>
        <w:t>licence</w:t>
      </w:r>
      <w:proofErr w:type="spellEnd"/>
      <w:r w:rsidR="00F81CA5" w:rsidRPr="00504456">
        <w:rPr>
          <w:rFonts w:ascii="Arial" w:hAnsi="Arial" w:cs="Arial"/>
          <w:color w:val="000000"/>
        </w:rPr>
        <w:t xml:space="preserve"> </w:t>
      </w:r>
      <w:r w:rsidRPr="00504456">
        <w:rPr>
          <w:rFonts w:ascii="Arial" w:hAnsi="Arial" w:cs="Arial"/>
          <w:color w:val="000000"/>
        </w:rPr>
        <w:t xml:space="preserve">applications for approval of a new venue or for amendment to an existing </w:t>
      </w:r>
      <w:proofErr w:type="spellStart"/>
      <w:r w:rsidRPr="00504456">
        <w:rPr>
          <w:rFonts w:ascii="Arial" w:hAnsi="Arial" w:cs="Arial"/>
          <w:color w:val="000000"/>
        </w:rPr>
        <w:t>licence</w:t>
      </w:r>
      <w:proofErr w:type="spellEnd"/>
      <w:r w:rsidRPr="00504456">
        <w:rPr>
          <w:rFonts w:ascii="Arial" w:hAnsi="Arial" w:cs="Arial"/>
          <w:color w:val="000000"/>
        </w:rPr>
        <w:t xml:space="preserve">. In its submission, Council can: </w:t>
      </w:r>
    </w:p>
    <w:p w:rsidR="00A14868" w:rsidRPr="00504456" w:rsidRDefault="00A14868" w:rsidP="00A14868">
      <w:pPr>
        <w:numPr>
          <w:ilvl w:val="0"/>
          <w:numId w:val="20"/>
        </w:numPr>
        <w:rPr>
          <w:rFonts w:ascii="Arial" w:hAnsi="Arial" w:cs="Arial"/>
          <w:color w:val="000000"/>
        </w:rPr>
      </w:pPr>
      <w:r w:rsidRPr="00504456">
        <w:rPr>
          <w:rFonts w:ascii="Arial" w:hAnsi="Arial" w:cs="Arial"/>
          <w:color w:val="000000"/>
        </w:rPr>
        <w:t xml:space="preserve">address the economic and social impact of the </w:t>
      </w:r>
      <w:r w:rsidR="00F81CA5" w:rsidRPr="00504456">
        <w:rPr>
          <w:rFonts w:ascii="Arial" w:hAnsi="Arial" w:cs="Arial"/>
          <w:color w:val="000000"/>
        </w:rPr>
        <w:t xml:space="preserve">gaming </w:t>
      </w:r>
      <w:proofErr w:type="spellStart"/>
      <w:r w:rsidR="00F81CA5" w:rsidRPr="00504456">
        <w:rPr>
          <w:rFonts w:ascii="Arial" w:hAnsi="Arial" w:cs="Arial"/>
          <w:color w:val="000000"/>
        </w:rPr>
        <w:t>licence</w:t>
      </w:r>
      <w:proofErr w:type="spellEnd"/>
      <w:r w:rsidR="00F81CA5" w:rsidRPr="00504456">
        <w:rPr>
          <w:rFonts w:ascii="Arial" w:hAnsi="Arial" w:cs="Arial"/>
          <w:color w:val="000000"/>
        </w:rPr>
        <w:t xml:space="preserve"> application</w:t>
      </w:r>
      <w:r w:rsidRPr="00504456">
        <w:rPr>
          <w:rFonts w:ascii="Arial" w:hAnsi="Arial" w:cs="Arial"/>
          <w:color w:val="000000"/>
        </w:rPr>
        <w:t xml:space="preserve"> on the wellbeing of the community of the municipal district in which the premises are located </w:t>
      </w:r>
    </w:p>
    <w:p w:rsidR="00A14868" w:rsidRPr="00504456" w:rsidRDefault="00A14868" w:rsidP="00A14868">
      <w:pPr>
        <w:numPr>
          <w:ilvl w:val="0"/>
          <w:numId w:val="20"/>
        </w:numPr>
        <w:rPr>
          <w:rFonts w:ascii="Arial" w:hAnsi="Arial" w:cs="Arial"/>
          <w:color w:val="000000"/>
        </w:rPr>
      </w:pPr>
      <w:proofErr w:type="gramStart"/>
      <w:r w:rsidRPr="00504456">
        <w:rPr>
          <w:rFonts w:ascii="Arial" w:hAnsi="Arial" w:cs="Arial"/>
          <w:color w:val="000000"/>
        </w:rPr>
        <w:t>take</w:t>
      </w:r>
      <w:proofErr w:type="gramEnd"/>
      <w:r w:rsidRPr="00504456">
        <w:rPr>
          <w:rFonts w:ascii="Arial" w:hAnsi="Arial" w:cs="Arial"/>
          <w:color w:val="000000"/>
        </w:rPr>
        <w:t xml:space="preserve"> into account the impact of the </w:t>
      </w:r>
      <w:r w:rsidR="00F81CA5" w:rsidRPr="00504456">
        <w:rPr>
          <w:rFonts w:ascii="Arial" w:hAnsi="Arial" w:cs="Arial"/>
          <w:color w:val="000000"/>
        </w:rPr>
        <w:t xml:space="preserve">gaming </w:t>
      </w:r>
      <w:proofErr w:type="spellStart"/>
      <w:r w:rsidR="00F81CA5" w:rsidRPr="00504456">
        <w:rPr>
          <w:rFonts w:ascii="Arial" w:hAnsi="Arial" w:cs="Arial"/>
          <w:color w:val="000000"/>
        </w:rPr>
        <w:t>licence</w:t>
      </w:r>
      <w:proofErr w:type="spellEnd"/>
      <w:r w:rsidR="00F81CA5" w:rsidRPr="00504456">
        <w:rPr>
          <w:rFonts w:ascii="Arial" w:hAnsi="Arial" w:cs="Arial"/>
          <w:color w:val="000000"/>
        </w:rPr>
        <w:t xml:space="preserve"> application </w:t>
      </w:r>
      <w:r w:rsidRPr="00504456">
        <w:rPr>
          <w:rFonts w:ascii="Arial" w:hAnsi="Arial" w:cs="Arial"/>
          <w:color w:val="000000"/>
        </w:rPr>
        <w:t xml:space="preserve">on surrounding municipal districts. </w:t>
      </w:r>
    </w:p>
    <w:p w:rsidR="00A14868" w:rsidRPr="00504456" w:rsidRDefault="00A14868" w:rsidP="00A14868">
      <w:pPr>
        <w:pStyle w:val="Default"/>
        <w:ind w:left="426" w:hanging="357"/>
        <w:jc w:val="both"/>
        <w:rPr>
          <w:sz w:val="23"/>
          <w:szCs w:val="23"/>
        </w:rPr>
      </w:pPr>
    </w:p>
    <w:p w:rsidR="00A14868" w:rsidRPr="00504456" w:rsidRDefault="00A14868" w:rsidP="00A14868">
      <w:pPr>
        <w:ind w:left="426"/>
        <w:rPr>
          <w:rFonts w:ascii="Arial" w:hAnsi="Arial" w:cs="Arial"/>
          <w:color w:val="000000"/>
        </w:rPr>
      </w:pPr>
      <w:r w:rsidRPr="00504456">
        <w:rPr>
          <w:rFonts w:ascii="Arial" w:hAnsi="Arial" w:cs="Arial"/>
          <w:color w:val="000000"/>
        </w:rPr>
        <w:t xml:space="preserve">The </w:t>
      </w:r>
      <w:proofErr w:type="spellStart"/>
      <w:r w:rsidRPr="00504456">
        <w:rPr>
          <w:rFonts w:ascii="Arial" w:hAnsi="Arial" w:cs="Arial"/>
          <w:color w:val="000000"/>
        </w:rPr>
        <w:t>VCGLR</w:t>
      </w:r>
      <w:proofErr w:type="spellEnd"/>
      <w:r w:rsidRPr="00504456">
        <w:rPr>
          <w:rFonts w:ascii="Arial" w:hAnsi="Arial" w:cs="Arial"/>
          <w:color w:val="000000"/>
        </w:rPr>
        <w:t xml:space="preserve"> may conduct public inquiries to take submissions and hear evidence to determine </w:t>
      </w:r>
      <w:r w:rsidR="00F81CA5" w:rsidRPr="00504456">
        <w:rPr>
          <w:rFonts w:ascii="Arial" w:hAnsi="Arial" w:cs="Arial"/>
          <w:color w:val="000000"/>
        </w:rPr>
        <w:t xml:space="preserve">gaming </w:t>
      </w:r>
      <w:proofErr w:type="spellStart"/>
      <w:r w:rsidR="00F81CA5" w:rsidRPr="00504456">
        <w:rPr>
          <w:rFonts w:ascii="Arial" w:hAnsi="Arial" w:cs="Arial"/>
          <w:color w:val="000000"/>
        </w:rPr>
        <w:t>licence</w:t>
      </w:r>
      <w:proofErr w:type="spellEnd"/>
      <w:r w:rsidR="00F81CA5" w:rsidRPr="00504456">
        <w:rPr>
          <w:rFonts w:ascii="Arial" w:hAnsi="Arial" w:cs="Arial"/>
          <w:color w:val="000000"/>
        </w:rPr>
        <w:t xml:space="preserve"> applications</w:t>
      </w:r>
      <w:r w:rsidRPr="00504456">
        <w:rPr>
          <w:rFonts w:ascii="Arial" w:hAnsi="Arial" w:cs="Arial"/>
          <w:color w:val="000000"/>
        </w:rPr>
        <w:t>.</w:t>
      </w:r>
    </w:p>
    <w:p w:rsidR="00A14868" w:rsidRPr="00504456" w:rsidRDefault="00A14868" w:rsidP="00A14868">
      <w:pPr>
        <w:ind w:left="426"/>
        <w:rPr>
          <w:rFonts w:ascii="Arial" w:hAnsi="Arial" w:cs="Arial"/>
          <w:color w:val="FF0000"/>
        </w:rPr>
      </w:pPr>
    </w:p>
    <w:p w:rsidR="006B6BE9" w:rsidRPr="00504456" w:rsidRDefault="00A14868" w:rsidP="00A14868">
      <w:pPr>
        <w:ind w:left="426"/>
        <w:rPr>
          <w:rFonts w:ascii="Arial" w:hAnsi="Arial" w:cs="Arial"/>
          <w:color w:val="000000"/>
        </w:rPr>
      </w:pPr>
      <w:r w:rsidRPr="00504456">
        <w:rPr>
          <w:rFonts w:ascii="Arial" w:hAnsi="Arial" w:cs="Arial"/>
          <w:color w:val="000000"/>
        </w:rPr>
        <w:t xml:space="preserve">The </w:t>
      </w:r>
      <w:r w:rsidR="000F07FC" w:rsidRPr="00504456">
        <w:rPr>
          <w:rFonts w:ascii="Arial" w:hAnsi="Arial" w:cs="Arial"/>
          <w:color w:val="000000"/>
        </w:rPr>
        <w:t>Gambling Act</w:t>
      </w:r>
      <w:r w:rsidRPr="00504456">
        <w:rPr>
          <w:rFonts w:ascii="Arial" w:hAnsi="Arial" w:cs="Arial"/>
          <w:color w:val="000000"/>
        </w:rPr>
        <w:t xml:space="preserve"> also sets out how much of the </w:t>
      </w:r>
      <w:proofErr w:type="spellStart"/>
      <w:r w:rsidRPr="00504456">
        <w:rPr>
          <w:rFonts w:ascii="Arial" w:hAnsi="Arial" w:cs="Arial"/>
          <w:color w:val="000000"/>
        </w:rPr>
        <w:t>EGM</w:t>
      </w:r>
      <w:proofErr w:type="spellEnd"/>
      <w:r w:rsidRPr="00504456">
        <w:rPr>
          <w:rFonts w:ascii="Arial" w:hAnsi="Arial" w:cs="Arial"/>
          <w:color w:val="000000"/>
        </w:rPr>
        <w:t xml:space="preserve"> gambling revenue clubs and hotels must </w:t>
      </w:r>
      <w:r w:rsidR="001004FE" w:rsidRPr="00504456">
        <w:rPr>
          <w:rFonts w:ascii="Arial" w:hAnsi="Arial" w:cs="Arial"/>
          <w:color w:val="000000"/>
        </w:rPr>
        <w:t>contribute</w:t>
      </w:r>
      <w:r w:rsidRPr="00504456">
        <w:rPr>
          <w:rFonts w:ascii="Arial" w:hAnsi="Arial" w:cs="Arial"/>
          <w:color w:val="000000"/>
        </w:rPr>
        <w:t xml:space="preserve"> towards community purposes. Club venue operators are required to prepare and lodge an audited </w:t>
      </w:r>
      <w:r w:rsidR="00926851" w:rsidRPr="00504456">
        <w:rPr>
          <w:rFonts w:ascii="Arial" w:hAnsi="Arial" w:cs="Arial"/>
          <w:color w:val="000000"/>
        </w:rPr>
        <w:t>c</w:t>
      </w:r>
      <w:r w:rsidRPr="00504456">
        <w:rPr>
          <w:rFonts w:ascii="Arial" w:hAnsi="Arial" w:cs="Arial"/>
          <w:color w:val="000000"/>
        </w:rPr>
        <w:t xml:space="preserve">ommunity </w:t>
      </w:r>
      <w:r w:rsidR="00926851" w:rsidRPr="00504456">
        <w:rPr>
          <w:rFonts w:ascii="Arial" w:hAnsi="Arial" w:cs="Arial"/>
          <w:color w:val="000000"/>
        </w:rPr>
        <w:t>b</w:t>
      </w:r>
      <w:r w:rsidRPr="00504456">
        <w:rPr>
          <w:rFonts w:ascii="Arial" w:hAnsi="Arial" w:cs="Arial"/>
          <w:color w:val="000000"/>
        </w:rPr>
        <w:t xml:space="preserve">enefit </w:t>
      </w:r>
      <w:r w:rsidR="00926851" w:rsidRPr="00504456">
        <w:rPr>
          <w:rFonts w:ascii="Arial" w:hAnsi="Arial" w:cs="Arial"/>
          <w:color w:val="000000"/>
        </w:rPr>
        <w:t>s</w:t>
      </w:r>
      <w:r w:rsidRPr="00504456">
        <w:rPr>
          <w:rFonts w:ascii="Arial" w:hAnsi="Arial" w:cs="Arial"/>
          <w:color w:val="000000"/>
        </w:rPr>
        <w:t xml:space="preserve">tatement with the </w:t>
      </w:r>
      <w:proofErr w:type="spellStart"/>
      <w:r w:rsidRPr="00504456">
        <w:rPr>
          <w:rFonts w:ascii="Arial" w:hAnsi="Arial" w:cs="Arial"/>
          <w:color w:val="000000"/>
        </w:rPr>
        <w:t>VCGLR</w:t>
      </w:r>
      <w:proofErr w:type="spellEnd"/>
      <w:r w:rsidRPr="00504456">
        <w:rPr>
          <w:rFonts w:ascii="Arial" w:hAnsi="Arial" w:cs="Arial"/>
          <w:color w:val="000000"/>
        </w:rPr>
        <w:t xml:space="preserve"> for every financial year that they receive revenue from </w:t>
      </w:r>
      <w:proofErr w:type="spellStart"/>
      <w:r w:rsidRPr="00504456">
        <w:rPr>
          <w:rFonts w:ascii="Arial" w:hAnsi="Arial" w:cs="Arial"/>
          <w:color w:val="000000"/>
        </w:rPr>
        <w:t>EGMs</w:t>
      </w:r>
      <w:proofErr w:type="spellEnd"/>
      <w:r w:rsidRPr="00504456">
        <w:rPr>
          <w:rFonts w:ascii="Arial" w:hAnsi="Arial" w:cs="Arial"/>
          <w:color w:val="000000"/>
        </w:rPr>
        <w:t xml:space="preserve">. A community benefit statement verifies whether the community benefit provided by the club is equal to at least 8.33 per cent of its net </w:t>
      </w:r>
      <w:proofErr w:type="spellStart"/>
      <w:r w:rsidR="00754F2F" w:rsidRPr="00504456">
        <w:rPr>
          <w:rFonts w:ascii="Arial" w:hAnsi="Arial" w:cs="Arial"/>
          <w:color w:val="000000"/>
        </w:rPr>
        <w:t>EGM</w:t>
      </w:r>
      <w:proofErr w:type="spellEnd"/>
      <w:r w:rsidRPr="00504456">
        <w:rPr>
          <w:rFonts w:ascii="Arial" w:hAnsi="Arial" w:cs="Arial"/>
          <w:color w:val="000000"/>
        </w:rPr>
        <w:t xml:space="preserve"> revenue.</w:t>
      </w:r>
      <w:r w:rsidRPr="00504456">
        <w:rPr>
          <w:rStyle w:val="FootnoteReference"/>
          <w:rFonts w:ascii="Arial" w:hAnsi="Arial" w:cs="Arial"/>
          <w:color w:val="000000"/>
        </w:rPr>
        <w:t xml:space="preserve"> </w:t>
      </w:r>
      <w:r w:rsidRPr="00504456">
        <w:rPr>
          <w:rStyle w:val="FootnoteReference"/>
          <w:rFonts w:ascii="Arial" w:hAnsi="Arial" w:cs="Arial"/>
          <w:color w:val="000000"/>
        </w:rPr>
        <w:footnoteReference w:id="35"/>
      </w:r>
      <w:r w:rsidRPr="00504456">
        <w:rPr>
          <w:rFonts w:ascii="Arial" w:hAnsi="Arial" w:cs="Arial"/>
          <w:color w:val="000000"/>
        </w:rPr>
        <w:t xml:space="preserve"> Hotels on the other hand, must pay 8.33 per cent of their revenue from </w:t>
      </w:r>
      <w:proofErr w:type="spellStart"/>
      <w:r w:rsidRPr="00504456">
        <w:rPr>
          <w:rFonts w:ascii="Arial" w:hAnsi="Arial" w:cs="Arial"/>
          <w:color w:val="000000"/>
        </w:rPr>
        <w:t>EGMs</w:t>
      </w:r>
      <w:proofErr w:type="spellEnd"/>
      <w:r w:rsidRPr="00504456">
        <w:rPr>
          <w:rFonts w:ascii="Arial" w:hAnsi="Arial" w:cs="Arial"/>
          <w:color w:val="000000"/>
        </w:rPr>
        <w:t xml:space="preserve"> to the </w:t>
      </w:r>
      <w:r w:rsidR="00C3719B" w:rsidRPr="00504456">
        <w:rPr>
          <w:rFonts w:ascii="Arial" w:hAnsi="Arial" w:cs="Arial"/>
          <w:color w:val="000000"/>
        </w:rPr>
        <w:t>Community Support Fund</w:t>
      </w:r>
      <w:r w:rsidRPr="00504456">
        <w:rPr>
          <w:rFonts w:ascii="Arial" w:hAnsi="Arial" w:cs="Arial"/>
          <w:color w:val="000000"/>
        </w:rPr>
        <w:t xml:space="preserve">. The Community Support Fund, established in 1991, is a trust governed by the </w:t>
      </w:r>
      <w:r w:rsidR="000F07FC" w:rsidRPr="00504456">
        <w:rPr>
          <w:rFonts w:ascii="Arial" w:hAnsi="Arial" w:cs="Arial"/>
          <w:color w:val="000000"/>
        </w:rPr>
        <w:t>Gambling Act</w:t>
      </w:r>
      <w:r w:rsidRPr="00504456">
        <w:rPr>
          <w:rFonts w:ascii="Arial" w:hAnsi="Arial" w:cs="Arial"/>
          <w:color w:val="000000"/>
        </w:rPr>
        <w:t xml:space="preserve"> to direct a portion of gaming revenue back into the community.</w:t>
      </w:r>
      <w:r w:rsidRPr="00504456">
        <w:rPr>
          <w:rStyle w:val="FootnoteReference"/>
          <w:rFonts w:cs="Arial"/>
          <w:color w:val="000000"/>
        </w:rPr>
        <w:t xml:space="preserve"> </w:t>
      </w:r>
      <w:r w:rsidRPr="00504456">
        <w:rPr>
          <w:rStyle w:val="FootnoteReference"/>
          <w:rFonts w:ascii="Arial" w:hAnsi="Arial" w:cs="Arial"/>
          <w:color w:val="000000"/>
        </w:rPr>
        <w:footnoteReference w:id="36"/>
      </w:r>
      <w:r w:rsidR="00056153" w:rsidRPr="00504456">
        <w:rPr>
          <w:rFonts w:cs="Arial"/>
          <w:color w:val="000000"/>
        </w:rPr>
        <w:t xml:space="preserve"> </w:t>
      </w:r>
      <w:r w:rsidRPr="00504456">
        <w:rPr>
          <w:rFonts w:cs="Arial"/>
          <w:color w:val="000000"/>
        </w:rPr>
        <w:t xml:space="preserve"> </w:t>
      </w:r>
      <w:r w:rsidR="00B555E4" w:rsidRPr="00504456">
        <w:rPr>
          <w:rFonts w:ascii="Arial" w:hAnsi="Arial" w:cs="Arial"/>
          <w:color w:val="000000"/>
        </w:rPr>
        <w:t>The</w:t>
      </w:r>
      <w:r w:rsidR="00CC2504" w:rsidRPr="00504456">
        <w:rPr>
          <w:rFonts w:ascii="Arial" w:hAnsi="Arial" w:cs="Arial"/>
          <w:color w:val="000000"/>
        </w:rPr>
        <w:t xml:space="preserve"> funds </w:t>
      </w:r>
      <w:r w:rsidR="00056153" w:rsidRPr="00504456">
        <w:rPr>
          <w:rFonts w:ascii="Arial" w:hAnsi="Arial" w:cs="Arial"/>
          <w:color w:val="000000"/>
        </w:rPr>
        <w:t>are distributed to several Victorian Government departments, which in turn invest in a range of program</w:t>
      </w:r>
      <w:r w:rsidR="00CC2504" w:rsidRPr="00504456">
        <w:rPr>
          <w:rFonts w:ascii="Arial" w:hAnsi="Arial" w:cs="Arial"/>
          <w:color w:val="000000"/>
        </w:rPr>
        <w:t>s and projects in the community.</w:t>
      </w:r>
      <w:r w:rsidR="00056153" w:rsidRPr="00504456">
        <w:rPr>
          <w:rFonts w:ascii="Arial" w:hAnsi="Arial" w:cs="Arial"/>
          <w:color w:val="000000"/>
        </w:rPr>
        <w:t xml:space="preserve"> As the funds are not necessarily distributed </w:t>
      </w:r>
      <w:r w:rsidR="00CC2504" w:rsidRPr="00504456">
        <w:rPr>
          <w:rFonts w:ascii="Arial" w:hAnsi="Arial" w:cs="Arial"/>
          <w:color w:val="000000"/>
        </w:rPr>
        <w:t>to the community where the losses are incurred, this is a cause of discontent for some communities.</w:t>
      </w:r>
    </w:p>
    <w:p w:rsidR="00A51AFC" w:rsidRPr="00504456" w:rsidRDefault="00A51AFC" w:rsidP="00A14868">
      <w:pPr>
        <w:ind w:left="426"/>
        <w:rPr>
          <w:rFonts w:ascii="Arial" w:hAnsi="Arial" w:cs="Arial"/>
          <w:color w:val="000000"/>
        </w:rPr>
      </w:pPr>
    </w:p>
    <w:p w:rsidR="00756A70" w:rsidRPr="00504456" w:rsidRDefault="00756A70" w:rsidP="00A14868">
      <w:pPr>
        <w:ind w:left="426"/>
        <w:rPr>
          <w:rFonts w:ascii="Arial" w:hAnsi="Arial" w:cs="Arial"/>
          <w:color w:val="000000"/>
        </w:rPr>
      </w:pPr>
    </w:p>
    <w:p w:rsidR="00A14868" w:rsidRPr="00504456" w:rsidRDefault="00A14868" w:rsidP="00036CC5">
      <w:pPr>
        <w:numPr>
          <w:ilvl w:val="0"/>
          <w:numId w:val="37"/>
        </w:numPr>
        <w:ind w:left="426"/>
        <w:rPr>
          <w:rFonts w:ascii="Arial" w:hAnsi="Arial" w:cs="Arial"/>
        </w:rPr>
      </w:pPr>
      <w:bookmarkStart w:id="39" w:name="_Toc355356468"/>
      <w:bookmarkStart w:id="40" w:name="_Toc355356810"/>
      <w:bookmarkStart w:id="41" w:name="_Toc355613991"/>
      <w:r w:rsidRPr="00504456">
        <w:rPr>
          <w:rFonts w:ascii="Arial" w:hAnsi="Arial" w:cs="Arial"/>
          <w:i/>
          <w:u w:val="single"/>
        </w:rPr>
        <w:t>Planning and Environment Act 1987</w:t>
      </w:r>
      <w:r w:rsidRPr="00504456">
        <w:rPr>
          <w:rFonts w:ascii="Arial" w:hAnsi="Arial" w:cs="Arial"/>
        </w:rPr>
        <w:t xml:space="preserve"> -</w:t>
      </w:r>
      <w:bookmarkEnd w:id="39"/>
      <w:bookmarkEnd w:id="40"/>
      <w:bookmarkEnd w:id="41"/>
      <w:r w:rsidRPr="00504456">
        <w:rPr>
          <w:rFonts w:ascii="Arial" w:hAnsi="Arial" w:cs="Arial"/>
        </w:rPr>
        <w:t xml:space="preserve"> </w:t>
      </w:r>
      <w:bookmarkStart w:id="42" w:name="_Toc355356469"/>
      <w:bookmarkStart w:id="43" w:name="_Toc355356811"/>
      <w:bookmarkStart w:id="44" w:name="_Toc355613992"/>
      <w:r w:rsidRPr="00504456">
        <w:rPr>
          <w:rFonts w:ascii="Arial" w:hAnsi="Arial" w:cs="Arial"/>
        </w:rPr>
        <w:t xml:space="preserve">The </w:t>
      </w:r>
      <w:r w:rsidRPr="00504456">
        <w:rPr>
          <w:rFonts w:ascii="Arial" w:hAnsi="Arial" w:cs="Arial"/>
          <w:i/>
        </w:rPr>
        <w:t>Planning and Environment Act 1987</w:t>
      </w:r>
      <w:r w:rsidRPr="00504456">
        <w:rPr>
          <w:rFonts w:ascii="Arial" w:hAnsi="Arial" w:cs="Arial"/>
        </w:rPr>
        <w:t xml:space="preserve"> (the </w:t>
      </w:r>
      <w:r w:rsidR="005F31D5" w:rsidRPr="00504456">
        <w:rPr>
          <w:rFonts w:ascii="Arial" w:hAnsi="Arial" w:cs="Arial"/>
        </w:rPr>
        <w:t>a</w:t>
      </w:r>
      <w:r w:rsidRPr="00504456">
        <w:rPr>
          <w:rFonts w:ascii="Arial" w:hAnsi="Arial" w:cs="Arial"/>
        </w:rPr>
        <w:t xml:space="preserve">ct) establishes a framework for land use planning in Victoria. The most pertinent objectives of the </w:t>
      </w:r>
      <w:r w:rsidR="005F31D5" w:rsidRPr="00504456">
        <w:rPr>
          <w:rFonts w:ascii="Arial" w:hAnsi="Arial" w:cs="Arial"/>
        </w:rPr>
        <w:t>a</w:t>
      </w:r>
      <w:r w:rsidRPr="00504456">
        <w:rPr>
          <w:rFonts w:ascii="Arial" w:hAnsi="Arial" w:cs="Arial"/>
        </w:rPr>
        <w:t xml:space="preserve">ct with regard to the regulation of </w:t>
      </w:r>
      <w:proofErr w:type="spellStart"/>
      <w:r w:rsidR="00F5325D" w:rsidRPr="00504456">
        <w:rPr>
          <w:rFonts w:ascii="Arial" w:hAnsi="Arial" w:cs="Arial"/>
        </w:rPr>
        <w:t>EGMs</w:t>
      </w:r>
      <w:proofErr w:type="spellEnd"/>
      <w:r w:rsidRPr="00504456">
        <w:rPr>
          <w:rFonts w:ascii="Arial" w:hAnsi="Arial" w:cs="Arial"/>
        </w:rPr>
        <w:t xml:space="preserve"> and gaming venues are in </w:t>
      </w:r>
      <w:r w:rsidR="00276AC7" w:rsidRPr="00504456">
        <w:rPr>
          <w:rFonts w:ascii="Arial" w:hAnsi="Arial" w:cs="Arial"/>
        </w:rPr>
        <w:t>s</w:t>
      </w:r>
      <w:r w:rsidRPr="00504456">
        <w:rPr>
          <w:rFonts w:ascii="Arial" w:hAnsi="Arial" w:cs="Arial"/>
        </w:rPr>
        <w:t>ection 4.1:</w:t>
      </w:r>
      <w:bookmarkEnd w:id="42"/>
      <w:bookmarkEnd w:id="43"/>
      <w:bookmarkEnd w:id="44"/>
    </w:p>
    <w:p w:rsidR="00A14868" w:rsidRPr="00504456" w:rsidRDefault="006B6BE9" w:rsidP="006B6BE9">
      <w:pPr>
        <w:ind w:left="993" w:right="1353" w:hanging="284"/>
        <w:rPr>
          <w:rFonts w:ascii="Arial" w:hAnsi="Arial" w:cs="Arial"/>
          <w:color w:val="000000"/>
        </w:rPr>
      </w:pPr>
      <w:r w:rsidRPr="00504456">
        <w:rPr>
          <w:rFonts w:ascii="Arial" w:hAnsi="Arial" w:cs="Arial"/>
          <w:color w:val="000000"/>
        </w:rPr>
        <w:t xml:space="preserve">(a) </w:t>
      </w:r>
      <w:proofErr w:type="gramStart"/>
      <w:r w:rsidR="00BF74CC" w:rsidRPr="00504456">
        <w:rPr>
          <w:rFonts w:ascii="Arial" w:hAnsi="Arial" w:cs="Arial"/>
          <w:color w:val="000000"/>
        </w:rPr>
        <w:t>to</w:t>
      </w:r>
      <w:proofErr w:type="gramEnd"/>
      <w:r w:rsidR="00BF74CC" w:rsidRPr="00504456">
        <w:rPr>
          <w:rFonts w:ascii="Arial" w:hAnsi="Arial" w:cs="Arial"/>
          <w:color w:val="000000"/>
        </w:rPr>
        <w:t xml:space="preserve"> provide for the fair, orderly, economic and sustainable use, and development of land;</w:t>
      </w:r>
    </w:p>
    <w:p w:rsidR="00A14868" w:rsidRPr="00504456" w:rsidRDefault="006B6BE9" w:rsidP="006B6BE9">
      <w:pPr>
        <w:ind w:left="993" w:right="1353" w:hanging="284"/>
        <w:rPr>
          <w:rFonts w:ascii="Arial" w:hAnsi="Arial" w:cs="Arial"/>
          <w:color w:val="000000"/>
        </w:rPr>
      </w:pPr>
      <w:r w:rsidRPr="00504456">
        <w:rPr>
          <w:rFonts w:ascii="Arial" w:hAnsi="Arial" w:cs="Arial"/>
          <w:color w:val="000000"/>
        </w:rPr>
        <w:t xml:space="preserve">(c) </w:t>
      </w:r>
      <w:proofErr w:type="gramStart"/>
      <w:r w:rsidR="00BF74CC" w:rsidRPr="00504456">
        <w:rPr>
          <w:rFonts w:ascii="Arial" w:hAnsi="Arial" w:cs="Arial"/>
          <w:color w:val="000000"/>
        </w:rPr>
        <w:t>to</w:t>
      </w:r>
      <w:proofErr w:type="gramEnd"/>
      <w:r w:rsidR="00BF74CC" w:rsidRPr="00504456">
        <w:rPr>
          <w:rFonts w:ascii="Arial" w:hAnsi="Arial" w:cs="Arial"/>
          <w:color w:val="000000"/>
        </w:rPr>
        <w:t xml:space="preserve"> secure a pleasant, efficient, safe working living and recreational environment for all Victorians and visitors to Victoria;</w:t>
      </w:r>
    </w:p>
    <w:p w:rsidR="00A14868" w:rsidRPr="00504456" w:rsidRDefault="006B6BE9" w:rsidP="006B6BE9">
      <w:pPr>
        <w:ind w:left="709" w:right="1353"/>
        <w:rPr>
          <w:rFonts w:ascii="Arial" w:hAnsi="Arial" w:cs="Arial"/>
          <w:color w:val="000000"/>
        </w:rPr>
      </w:pPr>
      <w:r w:rsidRPr="00504456">
        <w:rPr>
          <w:rFonts w:ascii="Arial" w:hAnsi="Arial" w:cs="Arial"/>
          <w:color w:val="000000"/>
        </w:rPr>
        <w:tab/>
        <w:t xml:space="preserve">(g) </w:t>
      </w:r>
      <w:proofErr w:type="gramStart"/>
      <w:r w:rsidR="00BF74CC" w:rsidRPr="00504456">
        <w:rPr>
          <w:rFonts w:ascii="Arial" w:hAnsi="Arial" w:cs="Arial"/>
          <w:color w:val="000000"/>
        </w:rPr>
        <w:t>to</w:t>
      </w:r>
      <w:proofErr w:type="gramEnd"/>
      <w:r w:rsidR="00BF74CC" w:rsidRPr="00504456">
        <w:rPr>
          <w:rFonts w:ascii="Arial" w:hAnsi="Arial" w:cs="Arial"/>
          <w:color w:val="000000"/>
        </w:rPr>
        <w:t xml:space="preserve"> balance the present and future interests of all Victorians.</w:t>
      </w:r>
    </w:p>
    <w:p w:rsidR="00A14868" w:rsidRPr="00504456" w:rsidRDefault="00A14868" w:rsidP="00A14868">
      <w:pPr>
        <w:rPr>
          <w:color w:val="000000"/>
          <w:lang w:val="en-AU" w:eastAsia="en-AU"/>
        </w:rPr>
      </w:pPr>
    </w:p>
    <w:p w:rsidR="00A14868" w:rsidRPr="00504456" w:rsidRDefault="00A14868" w:rsidP="00A14868">
      <w:pPr>
        <w:ind w:left="284"/>
        <w:rPr>
          <w:rFonts w:ascii="Arial" w:hAnsi="Arial" w:cs="Arial"/>
          <w:iCs/>
          <w:color w:val="000000"/>
          <w:lang w:val="en-AU" w:eastAsia="en-AU"/>
        </w:rPr>
      </w:pPr>
      <w:r w:rsidRPr="00504456">
        <w:rPr>
          <w:rFonts w:ascii="Arial" w:hAnsi="Arial" w:cs="Arial"/>
          <w:iCs/>
          <w:color w:val="000000"/>
          <w:lang w:val="en-AU" w:eastAsia="en-AU"/>
        </w:rPr>
        <w:t xml:space="preserve">In addition to these objectives, </w:t>
      </w:r>
      <w:r w:rsidR="00276AC7" w:rsidRPr="00504456">
        <w:rPr>
          <w:rFonts w:ascii="Arial" w:hAnsi="Arial" w:cs="Arial"/>
          <w:iCs/>
          <w:color w:val="000000"/>
          <w:lang w:val="en-AU" w:eastAsia="en-AU"/>
        </w:rPr>
        <w:t>s</w:t>
      </w:r>
      <w:r w:rsidRPr="00504456">
        <w:rPr>
          <w:rFonts w:ascii="Arial" w:hAnsi="Arial" w:cs="Arial"/>
          <w:iCs/>
          <w:color w:val="000000"/>
          <w:lang w:val="en-AU" w:eastAsia="en-AU"/>
        </w:rPr>
        <w:t>ection 4(2</w:t>
      </w:r>
      <w:proofErr w:type="gramStart"/>
      <w:r w:rsidRPr="00504456">
        <w:rPr>
          <w:rFonts w:ascii="Arial" w:hAnsi="Arial" w:cs="Arial"/>
          <w:iCs/>
          <w:color w:val="000000"/>
          <w:lang w:val="en-AU" w:eastAsia="en-AU"/>
        </w:rPr>
        <w:t>)(</w:t>
      </w:r>
      <w:proofErr w:type="gramEnd"/>
      <w:r w:rsidRPr="00504456">
        <w:rPr>
          <w:rFonts w:ascii="Arial" w:hAnsi="Arial" w:cs="Arial"/>
          <w:iCs/>
          <w:color w:val="000000"/>
          <w:lang w:val="en-AU" w:eastAsia="en-AU"/>
        </w:rPr>
        <w:t>d) requires that consideration be given to the social and economic impact of the use and development of land.</w:t>
      </w:r>
      <w:r w:rsidRPr="00504456">
        <w:rPr>
          <w:rStyle w:val="FootnoteReference"/>
          <w:rFonts w:ascii="Arial" w:hAnsi="Arial" w:cs="Arial"/>
          <w:iCs/>
          <w:color w:val="000000"/>
          <w:lang w:val="en-AU" w:eastAsia="en-AU"/>
        </w:rPr>
        <w:footnoteReference w:id="37"/>
      </w:r>
      <w:r w:rsidRPr="00504456">
        <w:rPr>
          <w:rFonts w:ascii="Arial" w:hAnsi="Arial" w:cs="Arial"/>
          <w:iCs/>
          <w:color w:val="000000"/>
          <w:lang w:val="en-AU" w:eastAsia="en-AU"/>
        </w:rPr>
        <w:t xml:space="preserve"> </w:t>
      </w:r>
    </w:p>
    <w:p w:rsidR="00A14868" w:rsidRPr="00504456" w:rsidRDefault="00A14868" w:rsidP="00A14868">
      <w:pPr>
        <w:pStyle w:val="Default"/>
        <w:ind w:left="284"/>
        <w:jc w:val="both"/>
        <w:rPr>
          <w:rFonts w:ascii="Arial" w:hAnsi="Arial" w:cs="Arial"/>
          <w:iCs/>
        </w:rPr>
      </w:pPr>
    </w:p>
    <w:p w:rsidR="00A14868" w:rsidRPr="00504456" w:rsidRDefault="00A14868" w:rsidP="00A14868">
      <w:pPr>
        <w:pStyle w:val="Default"/>
        <w:ind w:left="284"/>
        <w:rPr>
          <w:rFonts w:ascii="Arial" w:hAnsi="Arial" w:cs="Arial"/>
          <w:iCs/>
        </w:rPr>
      </w:pPr>
      <w:r w:rsidRPr="00504456">
        <w:rPr>
          <w:rFonts w:ascii="Arial" w:hAnsi="Arial" w:cs="Arial"/>
          <w:iCs/>
        </w:rPr>
        <w:t xml:space="preserve">The </w:t>
      </w:r>
      <w:r w:rsidR="005F31D5" w:rsidRPr="00504456">
        <w:rPr>
          <w:rFonts w:ascii="Arial" w:hAnsi="Arial" w:cs="Arial"/>
          <w:iCs/>
        </w:rPr>
        <w:t>a</w:t>
      </w:r>
      <w:r w:rsidRPr="00504456">
        <w:rPr>
          <w:rFonts w:ascii="Arial" w:hAnsi="Arial" w:cs="Arial"/>
          <w:iCs/>
        </w:rPr>
        <w:t xml:space="preserve">ct gives councils, as the responsible authority, the power to grant or refuse an application for a planning permit to install or use </w:t>
      </w:r>
      <w:proofErr w:type="spellStart"/>
      <w:r w:rsidRPr="00504456">
        <w:rPr>
          <w:rFonts w:ascii="Arial" w:hAnsi="Arial" w:cs="Arial"/>
          <w:iCs/>
        </w:rPr>
        <w:t>EGMs</w:t>
      </w:r>
      <w:proofErr w:type="spellEnd"/>
      <w:r w:rsidRPr="00504456">
        <w:rPr>
          <w:rFonts w:ascii="Arial" w:hAnsi="Arial" w:cs="Arial"/>
          <w:iCs/>
        </w:rPr>
        <w:t xml:space="preserve">. </w:t>
      </w:r>
    </w:p>
    <w:p w:rsidR="00855212" w:rsidRPr="00504456" w:rsidRDefault="00855212" w:rsidP="00A14868">
      <w:pPr>
        <w:pStyle w:val="Default"/>
        <w:ind w:left="284"/>
        <w:rPr>
          <w:rFonts w:ascii="Arial" w:hAnsi="Arial" w:cs="Arial"/>
          <w:iCs/>
        </w:rPr>
      </w:pPr>
    </w:p>
    <w:p w:rsidR="00A14868" w:rsidRPr="00504456" w:rsidRDefault="00A14868" w:rsidP="00036CC5">
      <w:pPr>
        <w:numPr>
          <w:ilvl w:val="0"/>
          <w:numId w:val="37"/>
        </w:numPr>
        <w:ind w:left="426"/>
        <w:rPr>
          <w:rFonts w:ascii="Arial" w:hAnsi="Arial" w:cs="Arial"/>
          <w:color w:val="000000"/>
        </w:rPr>
      </w:pPr>
      <w:bookmarkStart w:id="45" w:name="_Toc355356470"/>
      <w:bookmarkStart w:id="46" w:name="_Toc355356812"/>
      <w:bookmarkStart w:id="47" w:name="_Toc355613993"/>
      <w:r w:rsidRPr="00504456">
        <w:rPr>
          <w:rFonts w:ascii="Arial" w:hAnsi="Arial" w:cs="Arial"/>
          <w:i/>
          <w:u w:val="single"/>
        </w:rPr>
        <w:t>Local Government Act 1989</w:t>
      </w:r>
      <w:r w:rsidRPr="00504456">
        <w:rPr>
          <w:rFonts w:ascii="Arial" w:hAnsi="Arial" w:cs="Arial"/>
        </w:rPr>
        <w:t xml:space="preserve"> - T</w:t>
      </w:r>
      <w:bookmarkStart w:id="48" w:name="_Toc355356471"/>
      <w:bookmarkStart w:id="49" w:name="_Toc355356813"/>
      <w:bookmarkStart w:id="50" w:name="_Toc355613994"/>
      <w:bookmarkEnd w:id="45"/>
      <w:bookmarkEnd w:id="46"/>
      <w:bookmarkEnd w:id="47"/>
      <w:r w:rsidRPr="00504456">
        <w:rPr>
          <w:rFonts w:ascii="Arial" w:hAnsi="Arial" w:cs="Arial"/>
        </w:rPr>
        <w:t>he</w:t>
      </w:r>
      <w:r w:rsidRPr="00504456">
        <w:rPr>
          <w:rFonts w:ascii="Arial" w:hAnsi="Arial" w:cs="Arial"/>
          <w:i/>
        </w:rPr>
        <w:t xml:space="preserve"> Local Government Act 1989</w:t>
      </w:r>
      <w:r w:rsidRPr="00504456">
        <w:rPr>
          <w:rFonts w:ascii="Arial" w:hAnsi="Arial" w:cs="Arial"/>
        </w:rPr>
        <w:t xml:space="preserve"> provides a framework for the establishment and operation of councils. It requires all local governments to </w:t>
      </w:r>
      <w:proofErr w:type="spellStart"/>
      <w:r w:rsidRPr="00504456">
        <w:rPr>
          <w:rFonts w:ascii="Arial" w:hAnsi="Arial" w:cs="Arial"/>
        </w:rPr>
        <w:t>endeavour</w:t>
      </w:r>
      <w:proofErr w:type="spellEnd"/>
      <w:r w:rsidRPr="00504456">
        <w:rPr>
          <w:rFonts w:ascii="Arial" w:hAnsi="Arial" w:cs="Arial"/>
        </w:rPr>
        <w:t xml:space="preserve"> to achieve th</w:t>
      </w:r>
      <w:r w:rsidRPr="00504456">
        <w:rPr>
          <w:rFonts w:ascii="Arial" w:hAnsi="Arial" w:cs="Arial"/>
          <w:color w:val="000000"/>
        </w:rPr>
        <w:t>e best outcomes for the community, while having regard for the long-term and cumulative effects of decisions. The role that Council is legislated to play (s.3D) includes:</w:t>
      </w:r>
      <w:bookmarkEnd w:id="48"/>
      <w:bookmarkEnd w:id="49"/>
      <w:bookmarkEnd w:id="50"/>
      <w:r w:rsidRPr="00504456">
        <w:rPr>
          <w:rFonts w:ascii="Arial" w:hAnsi="Arial" w:cs="Arial"/>
          <w:color w:val="000000"/>
        </w:rPr>
        <w:t xml:space="preserve"> </w:t>
      </w:r>
    </w:p>
    <w:p w:rsidR="00A14868" w:rsidRPr="00504456" w:rsidRDefault="00BF74CC" w:rsidP="00036CC5">
      <w:pPr>
        <w:numPr>
          <w:ilvl w:val="0"/>
          <w:numId w:val="21"/>
        </w:numPr>
        <w:ind w:right="1353"/>
        <w:rPr>
          <w:rFonts w:ascii="Arial" w:hAnsi="Arial" w:cs="Arial"/>
          <w:color w:val="000000"/>
        </w:rPr>
      </w:pPr>
      <w:r w:rsidRPr="00504456">
        <w:rPr>
          <w:rFonts w:ascii="Arial" w:hAnsi="Arial" w:cs="Arial"/>
          <w:color w:val="000000"/>
        </w:rPr>
        <w:t>acting as a representative government by taking into account the diverse needs of the local community in decision-making</w:t>
      </w:r>
    </w:p>
    <w:p w:rsidR="00A14868" w:rsidRPr="00504456" w:rsidRDefault="00BF74CC" w:rsidP="00036CC5">
      <w:pPr>
        <w:numPr>
          <w:ilvl w:val="0"/>
          <w:numId w:val="21"/>
        </w:numPr>
        <w:ind w:right="1353"/>
        <w:rPr>
          <w:rFonts w:ascii="Arial" w:hAnsi="Arial" w:cs="Arial"/>
          <w:color w:val="000000"/>
        </w:rPr>
      </w:pPr>
      <w:r w:rsidRPr="00504456">
        <w:rPr>
          <w:rFonts w:ascii="Arial" w:hAnsi="Arial" w:cs="Arial"/>
          <w:color w:val="000000"/>
        </w:rPr>
        <w:t>providing leadership by establishing strategic objectives and monitoring their achievements</w:t>
      </w:r>
    </w:p>
    <w:p w:rsidR="00A14868" w:rsidRPr="00504456" w:rsidRDefault="00BF74CC" w:rsidP="00036CC5">
      <w:pPr>
        <w:numPr>
          <w:ilvl w:val="0"/>
          <w:numId w:val="21"/>
        </w:numPr>
        <w:ind w:right="1353"/>
        <w:rPr>
          <w:rFonts w:ascii="Arial" w:hAnsi="Arial" w:cs="Arial"/>
          <w:color w:val="000000"/>
        </w:rPr>
      </w:pPr>
      <w:r w:rsidRPr="00504456">
        <w:rPr>
          <w:rFonts w:ascii="Arial" w:hAnsi="Arial" w:cs="Arial"/>
          <w:color w:val="000000"/>
        </w:rPr>
        <w:t>maintaining the viability of the Council by ensuring that resources are managed in a responsible and accountable manner</w:t>
      </w:r>
    </w:p>
    <w:p w:rsidR="00A14868" w:rsidRPr="00504456" w:rsidRDefault="00BF74CC" w:rsidP="00036CC5">
      <w:pPr>
        <w:numPr>
          <w:ilvl w:val="0"/>
          <w:numId w:val="21"/>
        </w:numPr>
        <w:ind w:right="1353"/>
        <w:rPr>
          <w:rFonts w:ascii="Arial" w:hAnsi="Arial" w:cs="Arial"/>
          <w:color w:val="000000"/>
        </w:rPr>
      </w:pPr>
      <w:r w:rsidRPr="00504456">
        <w:rPr>
          <w:rFonts w:ascii="Arial" w:hAnsi="Arial" w:cs="Arial"/>
          <w:color w:val="000000"/>
        </w:rPr>
        <w:t xml:space="preserve">advocating the interests of the local community to other communities and governments </w:t>
      </w:r>
    </w:p>
    <w:p w:rsidR="00A14868" w:rsidRPr="00504456" w:rsidRDefault="00BF74CC" w:rsidP="00036CC5">
      <w:pPr>
        <w:numPr>
          <w:ilvl w:val="0"/>
          <w:numId w:val="21"/>
        </w:numPr>
        <w:ind w:right="1353"/>
        <w:rPr>
          <w:rFonts w:ascii="Arial" w:hAnsi="Arial" w:cs="Arial"/>
          <w:color w:val="000000"/>
        </w:rPr>
      </w:pPr>
      <w:r w:rsidRPr="00504456">
        <w:rPr>
          <w:rFonts w:ascii="Arial" w:hAnsi="Arial" w:cs="Arial"/>
          <w:color w:val="000000"/>
        </w:rPr>
        <w:lastRenderedPageBreak/>
        <w:t xml:space="preserve">acting as a responsible partner in government by taking into account the needs of other communities </w:t>
      </w:r>
    </w:p>
    <w:p w:rsidR="00A14868" w:rsidRPr="00504456" w:rsidRDefault="005E4597" w:rsidP="00036CC5">
      <w:pPr>
        <w:numPr>
          <w:ilvl w:val="0"/>
          <w:numId w:val="21"/>
        </w:numPr>
        <w:ind w:right="1353"/>
        <w:rPr>
          <w:rFonts w:ascii="Arial" w:hAnsi="Arial" w:cs="Arial"/>
          <w:color w:val="000000"/>
        </w:rPr>
      </w:pPr>
      <w:proofErr w:type="gramStart"/>
      <w:r w:rsidRPr="00504456">
        <w:rPr>
          <w:rFonts w:ascii="Arial" w:hAnsi="Arial" w:cs="Arial"/>
          <w:color w:val="000000"/>
        </w:rPr>
        <w:t>fostering</w:t>
      </w:r>
      <w:proofErr w:type="gramEnd"/>
      <w:r w:rsidRPr="00504456">
        <w:rPr>
          <w:rFonts w:ascii="Arial" w:hAnsi="Arial" w:cs="Arial"/>
          <w:color w:val="000000"/>
        </w:rPr>
        <w:t xml:space="preserve"> </w:t>
      </w:r>
      <w:r w:rsidR="00BF74CC" w:rsidRPr="00504456">
        <w:rPr>
          <w:rFonts w:ascii="Arial" w:hAnsi="Arial" w:cs="Arial"/>
          <w:color w:val="000000"/>
        </w:rPr>
        <w:t xml:space="preserve">community cohesion and encouraging active participation in civic life. </w:t>
      </w:r>
    </w:p>
    <w:p w:rsidR="00A14868" w:rsidRPr="00504456" w:rsidRDefault="00BF74CC" w:rsidP="00036CC5">
      <w:pPr>
        <w:numPr>
          <w:ilvl w:val="0"/>
          <w:numId w:val="37"/>
        </w:numPr>
        <w:ind w:left="426"/>
        <w:rPr>
          <w:rFonts w:ascii="Arial" w:hAnsi="Arial" w:cs="Arial"/>
        </w:rPr>
      </w:pPr>
      <w:bookmarkStart w:id="51" w:name="_Toc355356472"/>
      <w:bookmarkStart w:id="52" w:name="_Toc355356814"/>
      <w:bookmarkStart w:id="53" w:name="_Toc355613995"/>
      <w:r w:rsidRPr="00504456">
        <w:rPr>
          <w:rFonts w:ascii="Arial" w:hAnsi="Arial" w:cs="Arial"/>
          <w:u w:val="single"/>
        </w:rPr>
        <w:t>Victorian Responsible Gambling Foundation</w:t>
      </w:r>
      <w:r w:rsidR="00A14868" w:rsidRPr="00504456">
        <w:rPr>
          <w:rFonts w:ascii="Arial" w:hAnsi="Arial" w:cs="Arial"/>
        </w:rPr>
        <w:t xml:space="preserve"> -</w:t>
      </w:r>
      <w:bookmarkEnd w:id="51"/>
      <w:bookmarkEnd w:id="52"/>
      <w:bookmarkEnd w:id="53"/>
      <w:r w:rsidR="00A14868" w:rsidRPr="00504456">
        <w:rPr>
          <w:rFonts w:ascii="Arial" w:hAnsi="Arial" w:cs="Arial"/>
        </w:rPr>
        <w:t xml:space="preserve"> </w:t>
      </w:r>
      <w:bookmarkStart w:id="54" w:name="_Toc355356473"/>
      <w:bookmarkStart w:id="55" w:name="_Toc355356815"/>
      <w:bookmarkStart w:id="56" w:name="_Toc355613996"/>
      <w:r w:rsidR="002A4FA1" w:rsidRPr="00504456">
        <w:rPr>
          <w:rFonts w:ascii="Arial" w:hAnsi="Arial" w:cs="Arial"/>
        </w:rPr>
        <w:t>t</w:t>
      </w:r>
      <w:r w:rsidR="00A14868" w:rsidRPr="00504456">
        <w:rPr>
          <w:rFonts w:ascii="Arial" w:hAnsi="Arial" w:cs="Arial"/>
        </w:rPr>
        <w:t>he Victorian Responsible Gambling</w:t>
      </w:r>
      <w:r w:rsidR="00A14868" w:rsidRPr="00504456">
        <w:rPr>
          <w:rFonts w:ascii="Arial" w:hAnsi="Arial" w:cs="Arial"/>
          <w:i/>
          <w:u w:val="single"/>
        </w:rPr>
        <w:t xml:space="preserve"> </w:t>
      </w:r>
      <w:r w:rsidR="00A14868" w:rsidRPr="00504456">
        <w:rPr>
          <w:rFonts w:ascii="Arial" w:hAnsi="Arial" w:cs="Arial"/>
        </w:rPr>
        <w:t xml:space="preserve">Foundation (the </w:t>
      </w:r>
      <w:r w:rsidR="00F8117E" w:rsidRPr="00504456">
        <w:rPr>
          <w:rFonts w:ascii="Arial" w:hAnsi="Arial" w:cs="Arial"/>
        </w:rPr>
        <w:t>f</w:t>
      </w:r>
      <w:r w:rsidR="00A14868" w:rsidRPr="00504456">
        <w:rPr>
          <w:rFonts w:ascii="Arial" w:hAnsi="Arial" w:cs="Arial"/>
        </w:rPr>
        <w:t xml:space="preserve">oundation) is an independent statutory authority that aims to reduce the prevalence and harms of problem gambling and to help those who choose to gamble, to do so responsibly. Responsible gambling is defined by the </w:t>
      </w:r>
      <w:r w:rsidR="00F8117E" w:rsidRPr="00504456">
        <w:rPr>
          <w:rFonts w:ascii="Arial" w:hAnsi="Arial" w:cs="Arial"/>
        </w:rPr>
        <w:t>f</w:t>
      </w:r>
      <w:r w:rsidR="00A14868" w:rsidRPr="00504456">
        <w:rPr>
          <w:rFonts w:ascii="Arial" w:hAnsi="Arial" w:cs="Arial"/>
        </w:rPr>
        <w:t>oundation as gambling in a way that is controlled, is within your financial means, and does not interfere with your life or the lives of those around you.</w:t>
      </w:r>
      <w:r w:rsidR="00A14868" w:rsidRPr="00504456">
        <w:rPr>
          <w:rStyle w:val="FootnoteReference"/>
          <w:rFonts w:ascii="Arial" w:hAnsi="Arial" w:cs="Arial"/>
          <w:b/>
        </w:rPr>
        <w:footnoteReference w:id="38"/>
      </w:r>
      <w:bookmarkEnd w:id="54"/>
      <w:bookmarkEnd w:id="55"/>
      <w:bookmarkEnd w:id="56"/>
    </w:p>
    <w:p w:rsidR="00A14868" w:rsidRPr="00504456" w:rsidRDefault="00A14868" w:rsidP="00A14868">
      <w:pPr>
        <w:pStyle w:val="BodyText"/>
        <w:spacing w:after="0" w:line="240" w:lineRule="auto"/>
        <w:rPr>
          <w:rFonts w:cs="Arial"/>
          <w:sz w:val="24"/>
        </w:rPr>
      </w:pPr>
    </w:p>
    <w:p w:rsidR="00A14868" w:rsidRPr="00504456" w:rsidRDefault="00A14868" w:rsidP="002F1C95">
      <w:pPr>
        <w:spacing w:after="240"/>
        <w:ind w:left="426"/>
        <w:rPr>
          <w:rFonts w:ascii="Arial" w:hAnsi="Arial" w:cs="Arial"/>
        </w:rPr>
      </w:pPr>
      <w:r w:rsidRPr="00504456">
        <w:rPr>
          <w:rFonts w:ascii="Arial" w:hAnsi="Arial" w:cs="Arial"/>
        </w:rPr>
        <w:t xml:space="preserve">The objectives, functions and powers of the </w:t>
      </w:r>
      <w:r w:rsidR="00F8117E" w:rsidRPr="00504456">
        <w:rPr>
          <w:rFonts w:ascii="Arial" w:hAnsi="Arial" w:cs="Arial"/>
        </w:rPr>
        <w:t>f</w:t>
      </w:r>
      <w:r w:rsidRPr="00504456">
        <w:rPr>
          <w:rFonts w:ascii="Arial" w:hAnsi="Arial" w:cs="Arial"/>
        </w:rPr>
        <w:t xml:space="preserve">oundation are outlined in the </w:t>
      </w:r>
      <w:r w:rsidRPr="00504456">
        <w:rPr>
          <w:rFonts w:ascii="Arial" w:hAnsi="Arial" w:cs="Arial"/>
          <w:i/>
        </w:rPr>
        <w:t>Victorian Responsible Gambling Foundation Act 2011</w:t>
      </w:r>
      <w:r w:rsidRPr="00504456">
        <w:rPr>
          <w:rFonts w:ascii="Arial" w:hAnsi="Arial" w:cs="Arial"/>
        </w:rPr>
        <w:t xml:space="preserve">. The Victorian Government has committed $150 million over four years from the Community Support Fund (2011-12 to 2014-15) to fund the </w:t>
      </w:r>
      <w:r w:rsidR="00F8117E" w:rsidRPr="00504456">
        <w:rPr>
          <w:rFonts w:ascii="Arial" w:hAnsi="Arial" w:cs="Arial"/>
        </w:rPr>
        <w:t>f</w:t>
      </w:r>
      <w:r w:rsidRPr="00504456">
        <w:rPr>
          <w:rFonts w:ascii="Arial" w:hAnsi="Arial" w:cs="Arial"/>
        </w:rPr>
        <w:t>oundation.</w:t>
      </w:r>
      <w:r w:rsidRPr="00504456">
        <w:rPr>
          <w:rStyle w:val="FootnoteReference"/>
          <w:rFonts w:ascii="Arial" w:hAnsi="Arial" w:cs="Arial"/>
        </w:rPr>
        <w:footnoteReference w:id="39"/>
      </w:r>
    </w:p>
    <w:p w:rsidR="00A14868" w:rsidRPr="00504456" w:rsidRDefault="00A14868" w:rsidP="00A51AFC">
      <w:pPr>
        <w:spacing w:after="200" w:line="276" w:lineRule="auto"/>
        <w:rPr>
          <w:rFonts w:ascii="Arial" w:hAnsi="Arial" w:cs="Arial"/>
        </w:rPr>
      </w:pPr>
      <w:r w:rsidRPr="00504456">
        <w:rPr>
          <w:rFonts w:ascii="Arial" w:hAnsi="Arial" w:cs="Arial"/>
        </w:rPr>
        <w:t xml:space="preserve">The </w:t>
      </w:r>
      <w:r w:rsidR="00F8117E" w:rsidRPr="00504456">
        <w:rPr>
          <w:rFonts w:ascii="Arial" w:hAnsi="Arial" w:cs="Arial"/>
        </w:rPr>
        <w:t>f</w:t>
      </w:r>
      <w:r w:rsidRPr="00504456">
        <w:rPr>
          <w:rFonts w:ascii="Arial" w:hAnsi="Arial" w:cs="Arial"/>
        </w:rPr>
        <w:t>oundation, which commenced in July 2012, works within a public health framework to build the resilience of Victorians to problem gambling. Its functions include:</w:t>
      </w:r>
    </w:p>
    <w:p w:rsidR="00A14868" w:rsidRPr="00504456" w:rsidRDefault="00A14868" w:rsidP="00A14868">
      <w:pPr>
        <w:numPr>
          <w:ilvl w:val="0"/>
          <w:numId w:val="20"/>
        </w:numPr>
        <w:rPr>
          <w:rFonts w:ascii="Arial" w:hAnsi="Arial" w:cs="Arial"/>
        </w:rPr>
      </w:pPr>
      <w:r w:rsidRPr="00504456">
        <w:rPr>
          <w:rFonts w:ascii="Arial" w:hAnsi="Arial" w:cs="Arial"/>
        </w:rPr>
        <w:t>community education and awareness raising activities to foster responsible gambling and promote problem gambling help services</w:t>
      </w:r>
    </w:p>
    <w:p w:rsidR="00A14868" w:rsidRPr="00504456" w:rsidRDefault="00A14868" w:rsidP="00A14868">
      <w:pPr>
        <w:numPr>
          <w:ilvl w:val="0"/>
          <w:numId w:val="20"/>
        </w:numPr>
        <w:rPr>
          <w:rFonts w:ascii="Arial" w:hAnsi="Arial" w:cs="Arial"/>
        </w:rPr>
      </w:pPr>
      <w:r w:rsidRPr="00504456">
        <w:rPr>
          <w:rFonts w:ascii="Arial" w:hAnsi="Arial" w:cs="Arial"/>
        </w:rPr>
        <w:t>funding services to assist people affected by problem gambling and their family and friends</w:t>
      </w:r>
    </w:p>
    <w:p w:rsidR="00A14868" w:rsidRPr="00504456" w:rsidRDefault="00A14868" w:rsidP="00A14868">
      <w:pPr>
        <w:numPr>
          <w:ilvl w:val="0"/>
          <w:numId w:val="20"/>
        </w:numPr>
        <w:rPr>
          <w:rFonts w:ascii="Arial" w:hAnsi="Arial" w:cs="Arial"/>
        </w:rPr>
      </w:pPr>
      <w:r w:rsidRPr="00504456">
        <w:rPr>
          <w:rFonts w:ascii="Arial" w:hAnsi="Arial" w:cs="Arial"/>
        </w:rPr>
        <w:t>research to inform best practice in problem gambling treatment and prevention and responsible gambling communication</w:t>
      </w:r>
    </w:p>
    <w:p w:rsidR="00A14868" w:rsidRPr="00504456" w:rsidRDefault="00A14868" w:rsidP="00A14868">
      <w:pPr>
        <w:numPr>
          <w:ilvl w:val="0"/>
          <w:numId w:val="20"/>
        </w:numPr>
        <w:rPr>
          <w:rFonts w:ascii="Arial" w:hAnsi="Arial" w:cs="Arial"/>
        </w:rPr>
      </w:pPr>
      <w:proofErr w:type="gramStart"/>
      <w:r w:rsidRPr="00504456">
        <w:rPr>
          <w:rFonts w:ascii="Arial" w:hAnsi="Arial" w:cs="Arial"/>
        </w:rPr>
        <w:t>providing</w:t>
      </w:r>
      <w:proofErr w:type="gramEnd"/>
      <w:r w:rsidRPr="00504456">
        <w:rPr>
          <w:rFonts w:ascii="Arial" w:hAnsi="Arial" w:cs="Arial"/>
        </w:rPr>
        <w:t xml:space="preserve"> information about gambling regulation and </w:t>
      </w:r>
      <w:proofErr w:type="spellStart"/>
      <w:r w:rsidRPr="00504456">
        <w:rPr>
          <w:rFonts w:ascii="Arial" w:hAnsi="Arial" w:cs="Arial"/>
        </w:rPr>
        <w:t>licence</w:t>
      </w:r>
      <w:proofErr w:type="spellEnd"/>
      <w:r w:rsidRPr="00504456">
        <w:rPr>
          <w:rFonts w:ascii="Arial" w:hAnsi="Arial" w:cs="Arial"/>
        </w:rPr>
        <w:t xml:space="preserve"> approval processes to the Victorian community through the Gambling Information Resource Office (</w:t>
      </w:r>
      <w:proofErr w:type="spellStart"/>
      <w:r w:rsidRPr="00504456">
        <w:rPr>
          <w:rFonts w:ascii="Arial" w:hAnsi="Arial" w:cs="Arial"/>
        </w:rPr>
        <w:t>GIRO</w:t>
      </w:r>
      <w:proofErr w:type="spellEnd"/>
      <w:r w:rsidRPr="00504456">
        <w:rPr>
          <w:rFonts w:ascii="Arial" w:hAnsi="Arial" w:cs="Arial"/>
        </w:rPr>
        <w:t>).</w:t>
      </w:r>
      <w:r w:rsidRPr="00504456">
        <w:rPr>
          <w:rStyle w:val="FootnoteReference"/>
          <w:rFonts w:ascii="Arial" w:hAnsi="Arial" w:cs="Arial"/>
        </w:rPr>
        <w:footnoteReference w:id="40"/>
      </w:r>
    </w:p>
    <w:p w:rsidR="00A51AFC" w:rsidRPr="00504456" w:rsidRDefault="00A51AFC" w:rsidP="00A51AFC">
      <w:pPr>
        <w:rPr>
          <w:rFonts w:ascii="Arial" w:hAnsi="Arial" w:cs="Arial"/>
        </w:rPr>
      </w:pPr>
    </w:p>
    <w:p w:rsidR="00A51AFC" w:rsidRPr="00504456" w:rsidRDefault="00A51AFC">
      <w:pPr>
        <w:spacing w:after="200" w:line="276" w:lineRule="auto"/>
        <w:rPr>
          <w:rFonts w:ascii="Arial" w:hAnsi="Arial" w:cs="Arial"/>
        </w:rPr>
      </w:pPr>
      <w:r w:rsidRPr="00504456">
        <w:rPr>
          <w:rFonts w:ascii="Arial" w:hAnsi="Arial" w:cs="Arial"/>
        </w:rPr>
        <w:br w:type="page"/>
      </w:r>
    </w:p>
    <w:p w:rsidR="00A14868" w:rsidRPr="00504456" w:rsidRDefault="00A14868" w:rsidP="00A14868">
      <w:pPr>
        <w:pStyle w:val="Heading3"/>
        <w:rPr>
          <w:sz w:val="22"/>
          <w:szCs w:val="22"/>
        </w:rPr>
      </w:pPr>
      <w:bookmarkStart w:id="57" w:name="_Toc355356474"/>
      <w:bookmarkStart w:id="58" w:name="_Toc372787030"/>
      <w:r w:rsidRPr="00504456">
        <w:rPr>
          <w:sz w:val="22"/>
          <w:szCs w:val="22"/>
        </w:rPr>
        <w:lastRenderedPageBreak/>
        <w:t>City of Boroondara</w:t>
      </w:r>
      <w:bookmarkEnd w:id="57"/>
      <w:bookmarkEnd w:id="58"/>
    </w:p>
    <w:p w:rsidR="00A14868" w:rsidRPr="00504456" w:rsidRDefault="00A14868" w:rsidP="00A14868">
      <w:pPr>
        <w:rPr>
          <w:rFonts w:ascii="Arial" w:hAnsi="Arial" w:cs="Arial"/>
          <w:color w:val="000000"/>
        </w:rPr>
      </w:pPr>
      <w:r w:rsidRPr="00504456">
        <w:rPr>
          <w:rFonts w:ascii="Arial" w:hAnsi="Arial" w:cs="Arial"/>
          <w:color w:val="000000"/>
        </w:rPr>
        <w:t>The Responsible Gambling Policy 2013-1</w:t>
      </w:r>
      <w:r w:rsidR="00A547D1" w:rsidRPr="00504456">
        <w:rPr>
          <w:rFonts w:ascii="Arial" w:hAnsi="Arial" w:cs="Arial"/>
          <w:color w:val="000000"/>
        </w:rPr>
        <w:t>8</w:t>
      </w:r>
      <w:r w:rsidRPr="00504456">
        <w:rPr>
          <w:rFonts w:ascii="Arial" w:hAnsi="Arial" w:cs="Arial"/>
          <w:color w:val="000000"/>
        </w:rPr>
        <w:t xml:space="preserve"> has strong links with Council's key strategic, land use and social plans, as shown in </w:t>
      </w:r>
      <w:r w:rsidR="00E77536" w:rsidRPr="00504456">
        <w:rPr>
          <w:rFonts w:ascii="Arial" w:hAnsi="Arial" w:cs="Arial"/>
          <w:color w:val="000000"/>
        </w:rPr>
        <w:t>d</w:t>
      </w:r>
      <w:r w:rsidRPr="00504456">
        <w:rPr>
          <w:rFonts w:ascii="Arial" w:hAnsi="Arial" w:cs="Arial"/>
          <w:color w:val="000000"/>
        </w:rPr>
        <w:t>iagram 1. This hierarchy of plans reflects Council's</w:t>
      </w:r>
      <w:r w:rsidRPr="00504456">
        <w:rPr>
          <w:rFonts w:ascii="Arial" w:hAnsi="Arial" w:cs="Arial"/>
          <w:color w:val="000000"/>
          <w:lang w:val="en-AU"/>
        </w:rPr>
        <w:t xml:space="preserve"> legislative authority and community responsibility, based on an electoral mandate to plan for local areas and ensure community health, wellbeing and development. Minimising and reducing the impact of gambling on the community is a fundamental part of this mandate.</w:t>
      </w:r>
    </w:p>
    <w:p w:rsidR="00A14868" w:rsidRPr="00504456" w:rsidRDefault="00A14868" w:rsidP="00A14868">
      <w:pPr>
        <w:rPr>
          <w:rFonts w:ascii="Arial" w:hAnsi="Arial" w:cs="Arial"/>
          <w:color w:val="FF0000"/>
        </w:rPr>
      </w:pPr>
    </w:p>
    <w:p w:rsidR="00A14868" w:rsidRPr="00504456" w:rsidRDefault="00122B3F" w:rsidP="00A14868">
      <w:pPr>
        <w:tabs>
          <w:tab w:val="left" w:pos="5103"/>
        </w:tabs>
        <w:rPr>
          <w:rFonts w:ascii="Arial" w:hAnsi="Arial" w:cs="Arial"/>
        </w:rPr>
      </w:pPr>
      <w:r>
        <w:rPr>
          <w:rFonts w:ascii="Arial" w:hAnsi="Arial" w:cs="Arial"/>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1509395</wp:posOffset>
                </wp:positionH>
                <wp:positionV relativeFrom="paragraph">
                  <wp:posOffset>62865</wp:posOffset>
                </wp:positionV>
                <wp:extent cx="3277235" cy="359410"/>
                <wp:effectExtent l="19050" t="19050" r="18415" b="21590"/>
                <wp:wrapNone/>
                <wp:docPr id="1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35941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Pr="00D16724" w:rsidRDefault="00E43565" w:rsidP="00A14868">
                            <w:pPr>
                              <w:jc w:val="center"/>
                              <w:rPr>
                                <w:rFonts w:ascii="Arial" w:hAnsi="Arial" w:cs="Arial"/>
                                <w:b/>
                                <w:i/>
                                <w:color w:val="FFFFFF"/>
                                <w:lang w:val="en-AU"/>
                              </w:rPr>
                            </w:pPr>
                            <w:r w:rsidRPr="00D16724">
                              <w:rPr>
                                <w:rFonts w:ascii="Arial" w:hAnsi="Arial" w:cs="Arial"/>
                                <w:b/>
                                <w:i/>
                                <w:color w:val="FFFFFF"/>
                                <w:lang w:val="en-AU"/>
                              </w:rPr>
                              <w:t>Our Boroondara - Our City Our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7" style="position:absolute;margin-left:118.85pt;margin-top:4.95pt;width:258.0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" fillcolor="#4f81bd" strokecolor="#f2f2f2" strokeweight="3pt">
                <v:shadow color="#243f60" opacity=".5" offset="1pt"/>
                <v:textbox>
                  <w:txbxContent>
                    <w:p w:rsidR="00E43565" w:rsidRPr="00D16724" w:rsidRDefault="00E43565" w:rsidP="00A14868">
                      <w:pPr>
                        <w:jc w:val="center"/>
                        <w:rPr>
                          <w:rFonts w:ascii="Arial" w:hAnsi="Arial" w:cs="Arial"/>
                          <w:b/>
                          <w:i/>
                          <w:color w:val="FFFFFF"/>
                          <w:lang w:val="en-AU"/>
                        </w:rPr>
                      </w:pPr>
                      <w:r w:rsidRPr="00D16724">
                        <w:rPr>
                          <w:rFonts w:ascii="Arial" w:hAnsi="Arial" w:cs="Arial"/>
                          <w:b/>
                          <w:i/>
                          <w:color w:val="FFFFFF"/>
                          <w:lang w:val="en-AU"/>
                        </w:rPr>
                        <w:t>Our Boroondara - Our City Our Future</w:t>
                      </w:r>
                    </w:p>
                  </w:txbxContent>
                </v:textbox>
              </v:roundrect>
            </w:pict>
          </mc:Fallback>
        </mc:AlternateContent>
      </w: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3040380</wp:posOffset>
                </wp:positionH>
                <wp:positionV relativeFrom="paragraph">
                  <wp:posOffset>71755</wp:posOffset>
                </wp:positionV>
                <wp:extent cx="236220" cy="287655"/>
                <wp:effectExtent l="38100" t="0" r="0" b="36195"/>
                <wp:wrapNone/>
                <wp:docPr id="15"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87655"/>
                        </a:xfrm>
                        <a:prstGeom prst="downArrow">
                          <a:avLst>
                            <a:gd name="adj1" fmla="val 50000"/>
                            <a:gd name="adj2" fmla="val 3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39.4pt;margin-top:5.65pt;width:18.6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"/>
            </w:pict>
          </mc:Fallback>
        </mc:AlternateContent>
      </w: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color w:val="FFFFFF"/>
          <w:lang w:val="en-AU" w:eastAsia="en-AU"/>
        </w:rPr>
        <mc:AlternateContent>
          <mc:Choice Requires="wps">
            <w:drawing>
              <wp:anchor distT="0" distB="0" distL="114300" distR="114300" simplePos="0" relativeHeight="251661312" behindDoc="0" locked="0" layoutInCell="1" allowOverlap="1">
                <wp:simplePos x="0" y="0"/>
                <wp:positionH relativeFrom="column">
                  <wp:posOffset>2066290</wp:posOffset>
                </wp:positionH>
                <wp:positionV relativeFrom="paragraph">
                  <wp:posOffset>8890</wp:posOffset>
                </wp:positionV>
                <wp:extent cx="2146935" cy="441960"/>
                <wp:effectExtent l="19050" t="19050" r="24765" b="15240"/>
                <wp:wrapNone/>
                <wp:docPr id="1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44196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Pr="007B7DF6" w:rsidRDefault="00E43565" w:rsidP="00A14868">
                            <w:pPr>
                              <w:jc w:val="center"/>
                              <w:rPr>
                                <w:rFonts w:ascii="Arial" w:hAnsi="Arial" w:cs="Arial"/>
                                <w:b/>
                                <w:color w:val="FFFFFF"/>
                                <w:lang w:val="en-AU"/>
                              </w:rPr>
                            </w:pPr>
                            <w:r w:rsidRPr="007B7DF6">
                              <w:rPr>
                                <w:rFonts w:ascii="Arial" w:hAnsi="Arial" w:cs="Arial"/>
                                <w:b/>
                                <w:color w:val="FFFFFF"/>
                                <w:lang w:val="en-AU"/>
                              </w:rPr>
                              <w:t>Council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8" style="position:absolute;margin-left:162.7pt;margin-top:.7pt;width:169.0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" fillcolor="#4f81bd" strokecolor="#f2f2f2" strokeweight="3pt">
                <v:shadow color="#243f60" opacity=".5" offset="1pt"/>
                <v:textbox>
                  <w:txbxContent>
                    <w:p w:rsidR="00E43565" w:rsidRPr="007B7DF6" w:rsidRDefault="00E43565" w:rsidP="00A14868">
                      <w:pPr>
                        <w:jc w:val="center"/>
                        <w:rPr>
                          <w:rFonts w:ascii="Arial" w:hAnsi="Arial" w:cs="Arial"/>
                          <w:b/>
                          <w:color w:val="FFFFFF"/>
                          <w:lang w:val="en-AU"/>
                        </w:rPr>
                      </w:pPr>
                      <w:r w:rsidRPr="007B7DF6">
                        <w:rPr>
                          <w:rFonts w:ascii="Arial" w:hAnsi="Arial" w:cs="Arial"/>
                          <w:b/>
                          <w:color w:val="FFFFFF"/>
                          <w:lang w:val="en-AU"/>
                        </w:rPr>
                        <w:t>Council Plan</w:t>
                      </w:r>
                    </w:p>
                  </w:txbxContent>
                </v:textbox>
              </v:roundrect>
            </w:pict>
          </mc:Fallback>
        </mc:AlternateContent>
      </w: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3752850</wp:posOffset>
                </wp:positionH>
                <wp:positionV relativeFrom="paragraph">
                  <wp:posOffset>100330</wp:posOffset>
                </wp:positionV>
                <wp:extent cx="236220" cy="287655"/>
                <wp:effectExtent l="38100" t="0" r="0" b="36195"/>
                <wp:wrapNone/>
                <wp:docPr id="13"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87655"/>
                        </a:xfrm>
                        <a:prstGeom prst="downArrow">
                          <a:avLst>
                            <a:gd name="adj1" fmla="val 50000"/>
                            <a:gd name="adj2" fmla="val 3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1" o:spid="_x0000_s1026" type="#_x0000_t67" style="position:absolute;margin-left:295.5pt;margin-top:7.9pt;width:18.6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"/>
            </w:pict>
          </mc:Fallback>
        </mc:AlternateContent>
      </w:r>
      <w:r>
        <w:rPr>
          <w:rFonts w:ascii="Arial" w:hAnsi="Arial" w:cs="Arial"/>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2392680</wp:posOffset>
                </wp:positionH>
                <wp:positionV relativeFrom="paragraph">
                  <wp:posOffset>100330</wp:posOffset>
                </wp:positionV>
                <wp:extent cx="236220" cy="287655"/>
                <wp:effectExtent l="38100" t="0" r="0" b="36195"/>
                <wp:wrapNone/>
                <wp:docPr id="12"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87655"/>
                        </a:xfrm>
                        <a:prstGeom prst="downArrow">
                          <a:avLst>
                            <a:gd name="adj1" fmla="val 50000"/>
                            <a:gd name="adj2" fmla="val 3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188.4pt;margin-top:7.9pt;width:18.6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"/>
            </w:pict>
          </mc:Fallback>
        </mc:AlternateContent>
      </w: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3459480</wp:posOffset>
                </wp:positionH>
                <wp:positionV relativeFrom="paragraph">
                  <wp:posOffset>88900</wp:posOffset>
                </wp:positionV>
                <wp:extent cx="2531745" cy="834390"/>
                <wp:effectExtent l="19050" t="19050" r="20955" b="2286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439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Boroondara Public Health and Wellbeing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margin-left:272.4pt;margin-top:7pt;width:199.35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" fillcolor="#4f81bd" strokecolor="#f2f2f2" strokeweight="3pt">
                <v:shadow color="#243f60" opacity=".5" offset="1pt"/>
                <v:textbo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Boroondara Public Health and Wellbeing Plan</w:t>
                      </w:r>
                    </w:p>
                  </w:txbxContent>
                </v:textbox>
              </v:roundrect>
            </w:pict>
          </mc:Fallback>
        </mc:AlternateContent>
      </w:r>
      <w:r>
        <w:rPr>
          <w:rFonts w:ascii="Arial" w:hAnsi="Arial" w:cs="Arial"/>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387985</wp:posOffset>
                </wp:positionH>
                <wp:positionV relativeFrom="paragraph">
                  <wp:posOffset>88900</wp:posOffset>
                </wp:positionV>
                <wp:extent cx="2531745" cy="834390"/>
                <wp:effectExtent l="19050" t="19050" r="20955" b="22860"/>
                <wp:wrapNone/>
                <wp:docPr id="1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439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Boroondara Planning Scheme - Municipal Strategic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0" style="position:absolute;margin-left:30.55pt;margin-top:7pt;width:199.35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" fillcolor="#4f81bd" strokecolor="#f2f2f2" strokeweight="3pt">
                <v:shadow color="#243f60" opacity=".5" offset="1pt"/>
                <v:textbo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Boroondara Planning Scheme - Municipal Strategic Statement</w:t>
                      </w:r>
                    </w:p>
                  </w:txbxContent>
                </v:textbox>
              </v:roundrect>
            </w:pict>
          </mc:Fallback>
        </mc:AlternateContent>
      </w:r>
    </w:p>
    <w:p w:rsidR="00A14868" w:rsidRPr="00504456" w:rsidRDefault="00A14868" w:rsidP="00A14868">
      <w:pPr>
        <w:rPr>
          <w:rFonts w:ascii="Arial" w:hAnsi="Arial" w:cs="Arial"/>
        </w:rPr>
      </w:pPr>
    </w:p>
    <w:p w:rsidR="00A14868" w:rsidRPr="00504456" w:rsidRDefault="00A14868" w:rsidP="00A14868">
      <w:pPr>
        <w:rPr>
          <w:rFonts w:ascii="Arial" w:hAnsi="Arial" w:cs="Arial"/>
        </w:rPr>
      </w:pPr>
    </w:p>
    <w:p w:rsidR="00A14868" w:rsidRPr="00504456" w:rsidRDefault="00A14868" w:rsidP="00A14868">
      <w:pPr>
        <w:rPr>
          <w:rFonts w:ascii="Arial" w:hAnsi="Arial" w:cs="Arial"/>
        </w:rPr>
      </w:pPr>
    </w:p>
    <w:p w:rsidR="002A4FA1" w:rsidRPr="00504456" w:rsidRDefault="002A4FA1" w:rsidP="00A14868">
      <w:pPr>
        <w:rPr>
          <w:rFonts w:ascii="Arial" w:hAnsi="Arial" w:cs="Arial"/>
        </w:rPr>
      </w:pPr>
    </w:p>
    <w:p w:rsidR="002A4FA1" w:rsidRPr="00504456" w:rsidRDefault="002A4FA1" w:rsidP="00A14868">
      <w:pPr>
        <w:rPr>
          <w:rFonts w:ascii="Arial" w:hAnsi="Arial" w:cs="Arial"/>
        </w:rPr>
      </w:pPr>
    </w:p>
    <w:p w:rsidR="002A4FA1"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4672330</wp:posOffset>
                </wp:positionH>
                <wp:positionV relativeFrom="paragraph">
                  <wp:posOffset>24130</wp:posOffset>
                </wp:positionV>
                <wp:extent cx="236220" cy="922655"/>
                <wp:effectExtent l="38100" t="0" r="11430" b="29845"/>
                <wp:wrapNone/>
                <wp:docPr id="9"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922655"/>
                        </a:xfrm>
                        <a:prstGeom prst="downArrow">
                          <a:avLst>
                            <a:gd name="adj1" fmla="val 50000"/>
                            <a:gd name="adj2" fmla="val 3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367.9pt;margin-top:1.9pt;width:18.6pt;height:7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" adj="19916"/>
            </w:pict>
          </mc:Fallback>
        </mc:AlternateContent>
      </w:r>
      <w:r>
        <w:rPr>
          <w:rFonts w:ascii="Arial" w:hAnsi="Arial" w:cs="Arial"/>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1509395</wp:posOffset>
                </wp:positionH>
                <wp:positionV relativeFrom="paragraph">
                  <wp:posOffset>71755</wp:posOffset>
                </wp:positionV>
                <wp:extent cx="236220" cy="875030"/>
                <wp:effectExtent l="38100" t="0" r="0" b="39370"/>
                <wp:wrapNone/>
                <wp:docPr id="8"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875030"/>
                        </a:xfrm>
                        <a:prstGeom prst="downArrow">
                          <a:avLst>
                            <a:gd name="adj1" fmla="val 50000"/>
                            <a:gd name="adj2" fmla="val 30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118.85pt;margin-top:5.65pt;width:18.6pt;height:6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" adj="19825"/>
            </w:pict>
          </mc:Fallback>
        </mc:AlternateContent>
      </w:r>
    </w:p>
    <w:p w:rsidR="002A4FA1" w:rsidRPr="00504456" w:rsidRDefault="002A4FA1" w:rsidP="00A14868">
      <w:pPr>
        <w:rPr>
          <w:rFonts w:ascii="Arial" w:hAnsi="Arial" w:cs="Arial"/>
        </w:rPr>
      </w:pPr>
    </w:p>
    <w:p w:rsidR="00A14868" w:rsidRPr="00504456" w:rsidRDefault="00A14868" w:rsidP="00A14868">
      <w:pPr>
        <w:rPr>
          <w:rFonts w:ascii="Arial" w:hAnsi="Arial" w:cs="Arial"/>
        </w:rPr>
      </w:pPr>
    </w:p>
    <w:p w:rsidR="00A14868" w:rsidRPr="00504456" w:rsidRDefault="00A14868" w:rsidP="00A14868">
      <w:pPr>
        <w:rPr>
          <w:rFonts w:ascii="Arial" w:hAnsi="Arial" w:cs="Arial"/>
        </w:rPr>
      </w:pP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3530600</wp:posOffset>
                </wp:positionH>
                <wp:positionV relativeFrom="paragraph">
                  <wp:posOffset>126365</wp:posOffset>
                </wp:positionV>
                <wp:extent cx="2531745" cy="834390"/>
                <wp:effectExtent l="19050" t="19050" r="20955" b="22860"/>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439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City of Boroondara Responsible Gambling Policy 2013-17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1" style="position:absolute;margin-left:278pt;margin-top:9.95pt;width:199.35pt;height:6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" fillcolor="#4f81bd" strokecolor="#f2f2f2" strokeweight="3pt">
                <v:shadow color="#243f60" opacity=".5" offset="1pt"/>
                <v:textbox>
                  <w:txbxContent>
                    <w:p w:rsidR="00E43565" w:rsidRPr="00B95F78" w:rsidRDefault="00E43565" w:rsidP="00A14868">
                      <w:pPr>
                        <w:jc w:val="center"/>
                        <w:rPr>
                          <w:rFonts w:ascii="Arial" w:hAnsi="Arial" w:cs="Arial"/>
                          <w:b/>
                          <w:color w:val="FFFFFF"/>
                          <w:lang w:val="en-AU"/>
                        </w:rPr>
                      </w:pPr>
                      <w:r>
                        <w:rPr>
                          <w:rFonts w:ascii="Arial" w:hAnsi="Arial" w:cs="Arial"/>
                          <w:b/>
                          <w:color w:val="FFFFFF"/>
                          <w:lang w:val="en-AU"/>
                        </w:rPr>
                        <w:t>City of Boroondara Responsible Gambling Policy 2013-17</w:t>
                      </w:r>
                    </w:p>
                  </w:txbxContent>
                </v:textbox>
              </v:roundrect>
            </w:pict>
          </mc:Fallback>
        </mc:AlternateContent>
      </w:r>
      <w:r>
        <w:rPr>
          <w:rFonts w:ascii="Arial" w:hAnsi="Arial" w:cs="Arial"/>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387985</wp:posOffset>
                </wp:positionH>
                <wp:positionV relativeFrom="paragraph">
                  <wp:posOffset>126365</wp:posOffset>
                </wp:positionV>
                <wp:extent cx="2531745" cy="834390"/>
                <wp:effectExtent l="19050" t="19050" r="20955" b="22860"/>
                <wp:wrapNone/>
                <wp:docPr id="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4390"/>
                        </a:xfrm>
                        <a:prstGeom prst="roundRect">
                          <a:avLst>
                            <a:gd name="adj" fmla="val 16667"/>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E43565" w:rsidRDefault="00E43565" w:rsidP="00A14868">
                            <w:pPr>
                              <w:jc w:val="center"/>
                              <w:rPr>
                                <w:rFonts w:ascii="Arial" w:hAnsi="Arial" w:cs="Arial"/>
                                <w:b/>
                                <w:color w:val="FFFFFF"/>
                                <w:lang w:val="en-AU"/>
                              </w:rPr>
                            </w:pPr>
                            <w:r>
                              <w:rPr>
                                <w:rFonts w:ascii="Arial" w:hAnsi="Arial" w:cs="Arial"/>
                                <w:b/>
                                <w:color w:val="FFFFFF"/>
                                <w:lang w:val="en-AU"/>
                              </w:rPr>
                              <w:t>Clause 52.28 - Gaming</w:t>
                            </w:r>
                          </w:p>
                          <w:p w:rsidR="00E43565" w:rsidRPr="00B95F78" w:rsidRDefault="00E43565" w:rsidP="00A14868">
                            <w:pPr>
                              <w:jc w:val="center"/>
                              <w:rPr>
                                <w:rFonts w:ascii="Arial" w:hAnsi="Arial" w:cs="Arial"/>
                                <w:b/>
                                <w:color w:val="FFFFFF"/>
                                <w:lang w:val="en-AU"/>
                              </w:rPr>
                            </w:pPr>
                            <w:r>
                              <w:rPr>
                                <w:rFonts w:ascii="Arial" w:hAnsi="Arial" w:cs="Arial"/>
                                <w:b/>
                                <w:color w:val="FFFFFF"/>
                                <w:lang w:val="en-AU"/>
                              </w:rPr>
                              <w:t>Clause 22.14 - Electronic Gaming Machine Policy</w:t>
                            </w:r>
                          </w:p>
                          <w:p w:rsidR="00E43565" w:rsidRPr="00B95F78" w:rsidRDefault="00E43565" w:rsidP="00A14868">
                            <w:pPr>
                              <w:jc w:val="center"/>
                              <w:rPr>
                                <w:rFonts w:ascii="Arial" w:hAnsi="Arial" w:cs="Arial"/>
                                <w:b/>
                                <w:color w:val="FFFFFF"/>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2" style="position:absolute;margin-left:30.55pt;margin-top:9.95pt;width:199.35pt;height:6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" fillcolor="#4f81bd" strokecolor="#f2f2f2" strokeweight="3pt">
                <v:shadow color="#243f60" opacity=".5" offset="1pt"/>
                <v:textbox>
                  <w:txbxContent>
                    <w:p w:rsidR="00E43565" w:rsidRDefault="00E43565" w:rsidP="00A14868">
                      <w:pPr>
                        <w:jc w:val="center"/>
                        <w:rPr>
                          <w:rFonts w:ascii="Arial" w:hAnsi="Arial" w:cs="Arial"/>
                          <w:b/>
                          <w:color w:val="FFFFFF"/>
                          <w:lang w:val="en-AU"/>
                        </w:rPr>
                      </w:pPr>
                      <w:r>
                        <w:rPr>
                          <w:rFonts w:ascii="Arial" w:hAnsi="Arial" w:cs="Arial"/>
                          <w:b/>
                          <w:color w:val="FFFFFF"/>
                          <w:lang w:val="en-AU"/>
                        </w:rPr>
                        <w:t>Clause 52.28 - Gaming</w:t>
                      </w:r>
                    </w:p>
                    <w:p w:rsidR="00E43565" w:rsidRPr="00B95F78" w:rsidRDefault="00E43565" w:rsidP="00A14868">
                      <w:pPr>
                        <w:jc w:val="center"/>
                        <w:rPr>
                          <w:rFonts w:ascii="Arial" w:hAnsi="Arial" w:cs="Arial"/>
                          <w:b/>
                          <w:color w:val="FFFFFF"/>
                          <w:lang w:val="en-AU"/>
                        </w:rPr>
                      </w:pPr>
                      <w:r>
                        <w:rPr>
                          <w:rFonts w:ascii="Arial" w:hAnsi="Arial" w:cs="Arial"/>
                          <w:b/>
                          <w:color w:val="FFFFFF"/>
                          <w:lang w:val="en-AU"/>
                        </w:rPr>
                        <w:t>Clause 22.14 - Electronic Gaming Machine Policy</w:t>
                      </w:r>
                    </w:p>
                    <w:p w:rsidR="00E43565" w:rsidRPr="00B95F78" w:rsidRDefault="00E43565" w:rsidP="00A14868">
                      <w:pPr>
                        <w:jc w:val="center"/>
                        <w:rPr>
                          <w:rFonts w:ascii="Arial" w:hAnsi="Arial" w:cs="Arial"/>
                          <w:b/>
                          <w:color w:val="FFFFFF"/>
                          <w:lang w:val="en-AU"/>
                        </w:rPr>
                      </w:pPr>
                    </w:p>
                  </w:txbxContent>
                </v:textbox>
              </v:roundrect>
            </w:pict>
          </mc:Fallback>
        </mc:AlternateContent>
      </w:r>
    </w:p>
    <w:p w:rsidR="00A14868" w:rsidRPr="00504456" w:rsidRDefault="00A14868" w:rsidP="00A14868">
      <w:pPr>
        <w:rPr>
          <w:rFonts w:ascii="Arial" w:hAnsi="Arial" w:cs="Arial"/>
        </w:rPr>
      </w:pPr>
    </w:p>
    <w:p w:rsidR="00A14868" w:rsidRPr="00504456" w:rsidRDefault="00122B3F" w:rsidP="00A1486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3013710</wp:posOffset>
                </wp:positionH>
                <wp:positionV relativeFrom="paragraph">
                  <wp:posOffset>34925</wp:posOffset>
                </wp:positionV>
                <wp:extent cx="419100" cy="247015"/>
                <wp:effectExtent l="19050" t="38100" r="19050" b="57785"/>
                <wp:wrapNone/>
                <wp:docPr id="5"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7015"/>
                        </a:xfrm>
                        <a:prstGeom prst="leftRightArrow">
                          <a:avLst>
                            <a:gd name="adj1" fmla="val 50000"/>
                            <a:gd name="adj2" fmla="val 339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237.3pt;margin-top:2.75pt;width:33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"/>
            </w:pict>
          </mc:Fallback>
        </mc:AlternateContent>
      </w:r>
    </w:p>
    <w:p w:rsidR="00A14868" w:rsidRPr="00504456" w:rsidRDefault="00A14868" w:rsidP="00A14868">
      <w:pPr>
        <w:rPr>
          <w:rFonts w:ascii="Arial" w:hAnsi="Arial" w:cs="Arial"/>
        </w:rPr>
      </w:pPr>
    </w:p>
    <w:p w:rsidR="00A14868" w:rsidRPr="00504456" w:rsidRDefault="00A14868" w:rsidP="00A14868">
      <w:pPr>
        <w:rPr>
          <w:rFonts w:ascii="Arial" w:hAnsi="Arial" w:cs="Arial"/>
          <w:b/>
        </w:rPr>
      </w:pPr>
    </w:p>
    <w:p w:rsidR="00A14868" w:rsidRPr="00504456" w:rsidRDefault="00A14868" w:rsidP="00A14868">
      <w:pPr>
        <w:rPr>
          <w:rFonts w:ascii="Arial" w:hAnsi="Arial" w:cs="Arial"/>
          <w:b/>
        </w:rPr>
      </w:pPr>
    </w:p>
    <w:p w:rsidR="00A14868" w:rsidRPr="00504456" w:rsidRDefault="00A14868" w:rsidP="00A14868">
      <w:pPr>
        <w:rPr>
          <w:rFonts w:ascii="Arial" w:hAnsi="Arial" w:cs="Arial"/>
          <w:b/>
        </w:rPr>
      </w:pPr>
    </w:p>
    <w:p w:rsidR="00A14868" w:rsidRPr="00504456" w:rsidRDefault="00A14868" w:rsidP="00A14868">
      <w:pPr>
        <w:rPr>
          <w:rFonts w:ascii="Arial" w:hAnsi="Arial" w:cs="Arial"/>
        </w:rPr>
      </w:pPr>
      <w:r w:rsidRPr="00504456">
        <w:rPr>
          <w:rFonts w:ascii="Arial" w:hAnsi="Arial" w:cs="Arial"/>
          <w:b/>
        </w:rPr>
        <w:t>Diagram 1:</w:t>
      </w:r>
      <w:r w:rsidRPr="00504456">
        <w:rPr>
          <w:rFonts w:ascii="Arial" w:hAnsi="Arial" w:cs="Arial"/>
        </w:rPr>
        <w:t xml:space="preserve"> City of Boroondara social and planning policy framework</w:t>
      </w:r>
      <w:r w:rsidR="00E77536" w:rsidRPr="00504456">
        <w:rPr>
          <w:rFonts w:ascii="Arial" w:hAnsi="Arial" w:cs="Arial"/>
        </w:rPr>
        <w:t xml:space="preserve">  </w:t>
      </w:r>
    </w:p>
    <w:p w:rsidR="004B1F9E" w:rsidRPr="00504456" w:rsidRDefault="004B1F9E" w:rsidP="00A14868">
      <w:pPr>
        <w:rPr>
          <w:rFonts w:ascii="Arial" w:hAnsi="Arial" w:cs="Arial"/>
        </w:rPr>
      </w:pPr>
    </w:p>
    <w:p w:rsidR="00A14868" w:rsidRPr="00504456" w:rsidRDefault="009161A2" w:rsidP="00036CC5">
      <w:pPr>
        <w:numPr>
          <w:ilvl w:val="0"/>
          <w:numId w:val="37"/>
        </w:numPr>
        <w:spacing w:after="240"/>
        <w:ind w:left="426"/>
        <w:rPr>
          <w:rFonts w:ascii="Arial" w:hAnsi="Arial" w:cs="Arial"/>
        </w:rPr>
      </w:pPr>
      <w:bookmarkStart w:id="59" w:name="_Toc355356475"/>
      <w:bookmarkStart w:id="60" w:name="_Toc355356817"/>
      <w:bookmarkStart w:id="61" w:name="_Toc355613998"/>
      <w:r w:rsidRPr="00504456">
        <w:rPr>
          <w:rFonts w:ascii="Arial" w:hAnsi="Arial" w:cs="Arial"/>
          <w:i/>
          <w:u w:val="single"/>
        </w:rPr>
        <w:t>Our Boroondara - Our City Our Future</w:t>
      </w:r>
      <w:r w:rsidR="00A14868" w:rsidRPr="00504456">
        <w:rPr>
          <w:rFonts w:ascii="Arial" w:hAnsi="Arial" w:cs="Arial"/>
        </w:rPr>
        <w:t xml:space="preserve"> - Council's 20-year vision statement, </w:t>
      </w:r>
      <w:r w:rsidRPr="00504456">
        <w:rPr>
          <w:rFonts w:ascii="Arial" w:hAnsi="Arial" w:cs="Arial"/>
          <w:i/>
        </w:rPr>
        <w:t xml:space="preserve">Our Boroondara - Our City Our </w:t>
      </w:r>
      <w:proofErr w:type="gramStart"/>
      <w:r w:rsidRPr="00504456">
        <w:rPr>
          <w:rFonts w:ascii="Arial" w:hAnsi="Arial" w:cs="Arial"/>
          <w:i/>
        </w:rPr>
        <w:t>Future</w:t>
      </w:r>
      <w:r w:rsidR="00A14868" w:rsidRPr="00504456">
        <w:rPr>
          <w:rFonts w:ascii="Arial" w:hAnsi="Arial" w:cs="Arial"/>
        </w:rPr>
        <w:t>,</w:t>
      </w:r>
      <w:proofErr w:type="gramEnd"/>
      <w:r w:rsidR="00A14868" w:rsidRPr="00504456">
        <w:rPr>
          <w:rFonts w:ascii="Arial" w:hAnsi="Arial" w:cs="Arial"/>
        </w:rPr>
        <w:t xml:space="preserve"> is based on ideas and feedback from the Boroondara community. It was developed to provide Council with a long-term community planning framework and to ensure Council is being responsive to emerging community needs and challenges. The Responsible Gambling Policy 2013-1</w:t>
      </w:r>
      <w:r w:rsidR="00A547D1" w:rsidRPr="00504456">
        <w:rPr>
          <w:rFonts w:ascii="Arial" w:hAnsi="Arial" w:cs="Arial"/>
        </w:rPr>
        <w:t>8</w:t>
      </w:r>
      <w:r w:rsidR="00A14868" w:rsidRPr="00504456">
        <w:rPr>
          <w:rFonts w:ascii="Arial" w:hAnsi="Arial" w:cs="Arial"/>
        </w:rPr>
        <w:t xml:space="preserve"> contributes to Vision Theme 1, community wellbeing, by informing the community about social, cultural and recreational opportunities available as an alternative to gambling. In addition, </w:t>
      </w:r>
      <w:r w:rsidR="00FE3DCC" w:rsidRPr="00504456">
        <w:rPr>
          <w:rFonts w:ascii="Arial" w:hAnsi="Arial" w:cs="Arial"/>
        </w:rPr>
        <w:t xml:space="preserve">when assessing planning permit applications for </w:t>
      </w:r>
      <w:proofErr w:type="spellStart"/>
      <w:r w:rsidR="00FE3DCC" w:rsidRPr="00504456">
        <w:rPr>
          <w:rFonts w:ascii="Arial" w:hAnsi="Arial" w:cs="Arial"/>
        </w:rPr>
        <w:t>EGM</w:t>
      </w:r>
      <w:proofErr w:type="spellEnd"/>
      <w:r w:rsidR="00FE3DCC" w:rsidRPr="00504456">
        <w:rPr>
          <w:rFonts w:ascii="Arial" w:hAnsi="Arial" w:cs="Arial"/>
        </w:rPr>
        <w:t xml:space="preserve"> venues </w:t>
      </w:r>
      <w:r w:rsidR="00A14868" w:rsidRPr="00504456">
        <w:rPr>
          <w:rFonts w:ascii="Arial" w:hAnsi="Arial" w:cs="Arial"/>
        </w:rPr>
        <w:t xml:space="preserve">Council will </w:t>
      </w:r>
      <w:r w:rsidR="00FE3DCC" w:rsidRPr="00504456">
        <w:rPr>
          <w:rFonts w:ascii="Arial" w:hAnsi="Arial" w:cs="Arial"/>
        </w:rPr>
        <w:t>consider whether the gaming premises provides a full range of facilities and services to members and patrons</w:t>
      </w:r>
      <w:r w:rsidR="00A14868" w:rsidRPr="00504456">
        <w:rPr>
          <w:rFonts w:ascii="Arial" w:hAnsi="Arial" w:cs="Arial"/>
        </w:rPr>
        <w:t xml:space="preserve">. The policy also contributes to Vision Theme 3, planning a well-designed and sustainable City, by informing the community and seeking feedback on </w:t>
      </w:r>
      <w:r w:rsidR="00F768F4" w:rsidRPr="00504456">
        <w:rPr>
          <w:rFonts w:ascii="Arial" w:hAnsi="Arial" w:cs="Arial"/>
        </w:rPr>
        <w:t>planning</w:t>
      </w:r>
      <w:r w:rsidR="00F81CA5" w:rsidRPr="00504456">
        <w:rPr>
          <w:rFonts w:ascii="Arial" w:hAnsi="Arial" w:cs="Arial"/>
        </w:rPr>
        <w:t xml:space="preserve"> permit </w:t>
      </w:r>
      <w:r w:rsidR="00F768F4" w:rsidRPr="00504456">
        <w:rPr>
          <w:rFonts w:ascii="Arial" w:hAnsi="Arial" w:cs="Arial"/>
        </w:rPr>
        <w:t xml:space="preserve">and </w:t>
      </w:r>
      <w:r w:rsidR="004F21D1" w:rsidRPr="00504456">
        <w:rPr>
          <w:rFonts w:ascii="Arial" w:hAnsi="Arial" w:cs="Arial"/>
        </w:rPr>
        <w:t>gaming</w:t>
      </w:r>
      <w:r w:rsidR="00F81CA5" w:rsidRPr="00504456">
        <w:rPr>
          <w:rFonts w:ascii="Arial" w:hAnsi="Arial" w:cs="Arial"/>
        </w:rPr>
        <w:t xml:space="preserve"> </w:t>
      </w:r>
      <w:proofErr w:type="spellStart"/>
      <w:r w:rsidR="00F81CA5" w:rsidRPr="00504456">
        <w:rPr>
          <w:rFonts w:ascii="Arial" w:hAnsi="Arial" w:cs="Arial"/>
        </w:rPr>
        <w:t>licence</w:t>
      </w:r>
      <w:proofErr w:type="spellEnd"/>
      <w:r w:rsidR="004F21D1" w:rsidRPr="00504456">
        <w:rPr>
          <w:rFonts w:ascii="Arial" w:hAnsi="Arial" w:cs="Arial"/>
        </w:rPr>
        <w:t xml:space="preserve"> </w:t>
      </w:r>
      <w:r w:rsidR="00F81CA5" w:rsidRPr="00504456">
        <w:rPr>
          <w:rFonts w:ascii="Arial" w:hAnsi="Arial" w:cs="Arial"/>
        </w:rPr>
        <w:t>applications</w:t>
      </w:r>
      <w:r w:rsidR="00A14868" w:rsidRPr="00504456">
        <w:rPr>
          <w:rFonts w:ascii="Arial" w:hAnsi="Arial" w:cs="Arial"/>
        </w:rPr>
        <w:t xml:space="preserve"> lodged with Council and the </w:t>
      </w:r>
      <w:proofErr w:type="spellStart"/>
      <w:r w:rsidR="00A14868" w:rsidRPr="00504456">
        <w:rPr>
          <w:rFonts w:ascii="Arial" w:hAnsi="Arial" w:cs="Arial"/>
        </w:rPr>
        <w:t>VCGLR</w:t>
      </w:r>
      <w:bookmarkEnd w:id="59"/>
      <w:bookmarkEnd w:id="60"/>
      <w:bookmarkEnd w:id="61"/>
      <w:proofErr w:type="spellEnd"/>
      <w:r w:rsidR="002F1C95" w:rsidRPr="00504456">
        <w:rPr>
          <w:rFonts w:ascii="Arial" w:hAnsi="Arial" w:cs="Arial"/>
        </w:rPr>
        <w:t>.</w:t>
      </w:r>
    </w:p>
    <w:p w:rsidR="00A14868" w:rsidRPr="00504456" w:rsidRDefault="00BF74CC" w:rsidP="00036CC5">
      <w:pPr>
        <w:numPr>
          <w:ilvl w:val="0"/>
          <w:numId w:val="37"/>
        </w:numPr>
        <w:spacing w:after="240"/>
        <w:ind w:left="426"/>
        <w:rPr>
          <w:rFonts w:ascii="Arial" w:hAnsi="Arial" w:cs="Arial"/>
        </w:rPr>
      </w:pPr>
      <w:bookmarkStart w:id="62" w:name="_Toc355356476"/>
      <w:bookmarkStart w:id="63" w:name="_Toc355356818"/>
      <w:bookmarkStart w:id="64" w:name="_Toc355613999"/>
      <w:r w:rsidRPr="00504456">
        <w:rPr>
          <w:rFonts w:ascii="Arial" w:hAnsi="Arial" w:cs="Arial"/>
          <w:u w:val="single"/>
        </w:rPr>
        <w:lastRenderedPageBreak/>
        <w:t>Boroondara Public Health and Wellbeing Plan</w:t>
      </w:r>
      <w:r w:rsidR="00A14868" w:rsidRPr="00504456">
        <w:rPr>
          <w:rFonts w:ascii="Arial" w:hAnsi="Arial" w:cs="Arial"/>
          <w:i/>
        </w:rPr>
        <w:t xml:space="preserve"> - </w:t>
      </w:r>
      <w:r w:rsidR="00A14868" w:rsidRPr="00504456">
        <w:rPr>
          <w:rFonts w:ascii="Arial" w:hAnsi="Arial" w:cs="Arial"/>
        </w:rPr>
        <w:t xml:space="preserve">Municipal public health and wellbeing plans are legislative requirements under the </w:t>
      </w:r>
      <w:r w:rsidR="00A14868" w:rsidRPr="00504456">
        <w:rPr>
          <w:rFonts w:ascii="Arial" w:hAnsi="Arial" w:cs="Arial"/>
          <w:i/>
        </w:rPr>
        <w:t>Victorian Public Health and Wellbeing Act 2008</w:t>
      </w:r>
      <w:r w:rsidR="00A14868" w:rsidRPr="00504456">
        <w:rPr>
          <w:rFonts w:ascii="Arial" w:hAnsi="Arial" w:cs="Arial"/>
        </w:rPr>
        <w:t>. The Boroondara Public Health and Wellbeing Plan (</w:t>
      </w:r>
      <w:proofErr w:type="spellStart"/>
      <w:r w:rsidR="00A14868" w:rsidRPr="00504456">
        <w:rPr>
          <w:rFonts w:ascii="Arial" w:hAnsi="Arial" w:cs="Arial"/>
        </w:rPr>
        <w:t>BPHWP</w:t>
      </w:r>
      <w:proofErr w:type="spellEnd"/>
      <w:r w:rsidR="00A14868" w:rsidRPr="00504456">
        <w:rPr>
          <w:rFonts w:ascii="Arial" w:hAnsi="Arial" w:cs="Arial"/>
        </w:rPr>
        <w:t>) 2013-17 is a four-year strategy that sets the broad mission, goals and priorities to protect and promote municipal public health and wellbeing. The Responsible Gambling Policy 2013-1</w:t>
      </w:r>
      <w:r w:rsidR="00A547D1" w:rsidRPr="00504456">
        <w:rPr>
          <w:rFonts w:ascii="Arial" w:hAnsi="Arial" w:cs="Arial"/>
        </w:rPr>
        <w:t>8</w:t>
      </w:r>
      <w:r w:rsidR="00A14868" w:rsidRPr="00504456">
        <w:rPr>
          <w:rFonts w:ascii="Arial" w:hAnsi="Arial" w:cs="Arial"/>
        </w:rPr>
        <w:t xml:space="preserve"> sits under the </w:t>
      </w:r>
      <w:proofErr w:type="spellStart"/>
      <w:r w:rsidR="00A14868" w:rsidRPr="00504456">
        <w:rPr>
          <w:rFonts w:ascii="Arial" w:hAnsi="Arial" w:cs="Arial"/>
        </w:rPr>
        <w:t>BPHWP</w:t>
      </w:r>
      <w:proofErr w:type="spellEnd"/>
      <w:r w:rsidR="00A14868" w:rsidRPr="00504456">
        <w:rPr>
          <w:rFonts w:ascii="Arial" w:hAnsi="Arial" w:cs="Arial"/>
        </w:rPr>
        <w:t xml:space="preserve"> 2013-17, in particular</w:t>
      </w:r>
      <w:r w:rsidR="00677204" w:rsidRPr="00504456">
        <w:rPr>
          <w:rFonts w:ascii="Arial" w:hAnsi="Arial" w:cs="Arial"/>
        </w:rPr>
        <w:t>,</w:t>
      </w:r>
      <w:r w:rsidR="00A14868" w:rsidRPr="00504456">
        <w:rPr>
          <w:rFonts w:ascii="Arial" w:hAnsi="Arial" w:cs="Arial"/>
        </w:rPr>
        <w:t xml:space="preserve"> </w:t>
      </w:r>
      <w:r w:rsidR="00723831" w:rsidRPr="00504456">
        <w:rPr>
          <w:rFonts w:ascii="Arial" w:hAnsi="Arial" w:cs="Arial"/>
        </w:rPr>
        <w:t>Theme</w:t>
      </w:r>
      <w:r w:rsidR="00A14868" w:rsidRPr="00504456">
        <w:rPr>
          <w:rFonts w:ascii="Arial" w:hAnsi="Arial" w:cs="Arial"/>
        </w:rPr>
        <w:t xml:space="preserve"> 2 'we will contribute to building a </w:t>
      </w:r>
      <w:proofErr w:type="spellStart"/>
      <w:r w:rsidR="00A14868" w:rsidRPr="00504456">
        <w:rPr>
          <w:rFonts w:ascii="Arial" w:hAnsi="Arial" w:cs="Arial"/>
        </w:rPr>
        <w:t>liveable</w:t>
      </w:r>
      <w:proofErr w:type="spellEnd"/>
      <w:r w:rsidR="00A14868" w:rsidRPr="00504456">
        <w:rPr>
          <w:rFonts w:ascii="Arial" w:hAnsi="Arial" w:cs="Arial"/>
        </w:rPr>
        <w:t xml:space="preserve">, sustainable, health-promoting City'. The Responsible Gambling Policy will contribute towards the </w:t>
      </w:r>
      <w:proofErr w:type="spellStart"/>
      <w:r w:rsidR="00A14868" w:rsidRPr="00504456">
        <w:rPr>
          <w:rFonts w:ascii="Arial" w:hAnsi="Arial" w:cs="Arial"/>
        </w:rPr>
        <w:t>BPHWP</w:t>
      </w:r>
      <w:proofErr w:type="spellEnd"/>
      <w:r w:rsidR="00A14868" w:rsidRPr="00504456">
        <w:rPr>
          <w:rFonts w:ascii="Arial" w:hAnsi="Arial" w:cs="Arial"/>
        </w:rPr>
        <w:t xml:space="preserve"> by implementing strategies to </w:t>
      </w:r>
      <w:proofErr w:type="spellStart"/>
      <w:r w:rsidR="00A14868" w:rsidRPr="00504456">
        <w:rPr>
          <w:rFonts w:ascii="Arial" w:hAnsi="Arial" w:cs="Arial"/>
        </w:rPr>
        <w:t>minimise</w:t>
      </w:r>
      <w:proofErr w:type="spellEnd"/>
      <w:r w:rsidR="00A14868" w:rsidRPr="00504456">
        <w:rPr>
          <w:rFonts w:ascii="Arial" w:hAnsi="Arial" w:cs="Arial"/>
        </w:rPr>
        <w:t xml:space="preserve"> and reduce the negative impacts of gambling on individuals and the community. This includes ensuring that the social and economic impacts of </w:t>
      </w:r>
      <w:proofErr w:type="spellStart"/>
      <w:r w:rsidR="00A14868" w:rsidRPr="00504456">
        <w:rPr>
          <w:rFonts w:ascii="Arial" w:hAnsi="Arial" w:cs="Arial"/>
        </w:rPr>
        <w:t>EGMs</w:t>
      </w:r>
      <w:proofErr w:type="spellEnd"/>
      <w:r w:rsidR="00A14868" w:rsidRPr="00504456">
        <w:rPr>
          <w:rFonts w:ascii="Arial" w:hAnsi="Arial" w:cs="Arial"/>
        </w:rPr>
        <w:t xml:space="preserve"> are properly considered when assessing </w:t>
      </w:r>
      <w:r w:rsidR="00F768F4" w:rsidRPr="00504456">
        <w:rPr>
          <w:rFonts w:ascii="Arial" w:hAnsi="Arial" w:cs="Arial"/>
        </w:rPr>
        <w:t>planning</w:t>
      </w:r>
      <w:r w:rsidR="004E29E4" w:rsidRPr="00504456">
        <w:rPr>
          <w:rFonts w:ascii="Arial" w:hAnsi="Arial" w:cs="Arial"/>
        </w:rPr>
        <w:t xml:space="preserve"> permit</w:t>
      </w:r>
      <w:r w:rsidR="00F768F4" w:rsidRPr="00504456">
        <w:rPr>
          <w:rFonts w:ascii="Arial" w:hAnsi="Arial" w:cs="Arial"/>
        </w:rPr>
        <w:t xml:space="preserve"> and </w:t>
      </w:r>
      <w:r w:rsidR="00A14868" w:rsidRPr="00504456">
        <w:rPr>
          <w:rFonts w:ascii="Arial" w:hAnsi="Arial" w:cs="Arial"/>
        </w:rPr>
        <w:t>gaming</w:t>
      </w:r>
      <w:r w:rsidR="00AE73E9" w:rsidRPr="00504456">
        <w:rPr>
          <w:rFonts w:ascii="Arial" w:hAnsi="Arial" w:cs="Arial"/>
        </w:rPr>
        <w:t xml:space="preserve"> </w:t>
      </w:r>
      <w:proofErr w:type="spellStart"/>
      <w:r w:rsidR="00AE73E9" w:rsidRPr="00504456">
        <w:rPr>
          <w:rFonts w:ascii="Arial" w:hAnsi="Arial" w:cs="Arial"/>
        </w:rPr>
        <w:t>licence</w:t>
      </w:r>
      <w:proofErr w:type="spellEnd"/>
      <w:r w:rsidR="00AE73E9" w:rsidRPr="00504456">
        <w:rPr>
          <w:rFonts w:ascii="Arial" w:hAnsi="Arial" w:cs="Arial"/>
        </w:rPr>
        <w:t xml:space="preserve"> applications</w:t>
      </w:r>
      <w:r w:rsidR="00A14868" w:rsidRPr="00504456">
        <w:rPr>
          <w:rFonts w:ascii="Arial" w:hAnsi="Arial" w:cs="Arial"/>
        </w:rPr>
        <w:t>.</w:t>
      </w:r>
      <w:bookmarkEnd w:id="62"/>
      <w:bookmarkEnd w:id="63"/>
      <w:bookmarkEnd w:id="64"/>
    </w:p>
    <w:p w:rsidR="00A14868" w:rsidRPr="00504456" w:rsidRDefault="009161A2" w:rsidP="00036CC5">
      <w:pPr>
        <w:numPr>
          <w:ilvl w:val="0"/>
          <w:numId w:val="37"/>
        </w:numPr>
        <w:ind w:left="426"/>
        <w:rPr>
          <w:rFonts w:ascii="Arial" w:hAnsi="Arial" w:cs="Arial"/>
        </w:rPr>
      </w:pPr>
      <w:bookmarkStart w:id="65" w:name="_Toc355356477"/>
      <w:bookmarkStart w:id="66" w:name="_Toc355356654"/>
      <w:bookmarkStart w:id="67" w:name="_Toc355356819"/>
      <w:bookmarkStart w:id="68" w:name="_Toc355614000"/>
      <w:bookmarkStart w:id="69" w:name="_Toc355356478"/>
      <w:bookmarkStart w:id="70" w:name="_Toc355356820"/>
      <w:bookmarkStart w:id="71" w:name="_Toc355614001"/>
      <w:bookmarkEnd w:id="65"/>
      <w:bookmarkEnd w:id="66"/>
      <w:bookmarkEnd w:id="67"/>
      <w:bookmarkEnd w:id="68"/>
      <w:r w:rsidRPr="00504456">
        <w:rPr>
          <w:rFonts w:ascii="Arial" w:hAnsi="Arial" w:cs="Arial"/>
          <w:u w:val="single"/>
        </w:rPr>
        <w:t>Boroondara Planning Scheme</w:t>
      </w:r>
      <w:r w:rsidRPr="00504456">
        <w:rPr>
          <w:rFonts w:ascii="Arial" w:hAnsi="Arial" w:cs="Arial"/>
        </w:rPr>
        <w:t xml:space="preserve"> - the Boroondara Planning Scheme provides objectives, policies and decision making guidelines that are used to assess the merits of any planning permit applications received by Council. The planning scheme</w:t>
      </w:r>
      <w:bookmarkEnd w:id="69"/>
      <w:bookmarkEnd w:id="70"/>
      <w:bookmarkEnd w:id="71"/>
      <w:r w:rsidRPr="00504456">
        <w:rPr>
          <w:rFonts w:ascii="Arial" w:hAnsi="Arial" w:cs="Arial"/>
        </w:rPr>
        <w:t xml:space="preserve"> </w:t>
      </w:r>
      <w:bookmarkStart w:id="72" w:name="_Toc355356479"/>
      <w:bookmarkStart w:id="73" w:name="_Toc355356821"/>
      <w:bookmarkStart w:id="74" w:name="_Toc355614002"/>
      <w:bookmarkStart w:id="75" w:name="_Toc352847830"/>
      <w:bookmarkStart w:id="76" w:name="_Toc352847946"/>
      <w:bookmarkStart w:id="77" w:name="_Toc352933246"/>
      <w:bookmarkStart w:id="78" w:name="_Toc352933520"/>
      <w:bookmarkStart w:id="79" w:name="_Toc352933636"/>
      <w:bookmarkStart w:id="80" w:name="_Toc352937980"/>
      <w:bookmarkStart w:id="81" w:name="_Toc353174809"/>
      <w:bookmarkStart w:id="82" w:name="_Toc353879160"/>
      <w:bookmarkStart w:id="83" w:name="_Toc354047935"/>
      <w:bookmarkStart w:id="84" w:name="_Toc351128764"/>
      <w:bookmarkEnd w:id="20"/>
      <w:bookmarkEnd w:id="21"/>
      <w:bookmarkEnd w:id="22"/>
      <w:bookmarkEnd w:id="23"/>
      <w:r w:rsidRPr="00504456">
        <w:rPr>
          <w:rFonts w:ascii="Arial" w:hAnsi="Arial" w:cs="Arial"/>
        </w:rPr>
        <w:t xml:space="preserve">includes both state designated and local policies, as determined by the </w:t>
      </w:r>
      <w:r w:rsidRPr="00504456">
        <w:rPr>
          <w:rFonts w:ascii="Arial" w:hAnsi="Arial" w:cs="Arial"/>
          <w:i/>
        </w:rPr>
        <w:t>Planning and Environment Act 1987</w:t>
      </w:r>
      <w:r w:rsidRPr="00504456">
        <w:rPr>
          <w:rFonts w:ascii="Arial" w:hAnsi="Arial" w:cs="Arial"/>
        </w:rPr>
        <w:t xml:space="preserve">. The state designated policy and local policy relevant to </w:t>
      </w:r>
      <w:proofErr w:type="spellStart"/>
      <w:r w:rsidRPr="00504456">
        <w:rPr>
          <w:rFonts w:ascii="Arial" w:hAnsi="Arial" w:cs="Arial"/>
        </w:rPr>
        <w:t>EGM</w:t>
      </w:r>
      <w:proofErr w:type="spellEnd"/>
      <w:r w:rsidRPr="00504456">
        <w:rPr>
          <w:rFonts w:ascii="Arial" w:hAnsi="Arial" w:cs="Arial"/>
        </w:rPr>
        <w:t xml:space="preserve"> gambling are clauses 52.28 - Gaming and 22.14 - Electronic Gaming Machine Policy. Both clauses must be considered </w:t>
      </w:r>
      <w:r w:rsidR="00613460" w:rsidRPr="00504456">
        <w:rPr>
          <w:rFonts w:ascii="Arial" w:hAnsi="Arial" w:cs="Arial"/>
        </w:rPr>
        <w:t xml:space="preserve">by Council </w:t>
      </w:r>
      <w:r w:rsidRPr="00504456">
        <w:rPr>
          <w:rFonts w:ascii="Arial" w:hAnsi="Arial" w:cs="Arial"/>
        </w:rPr>
        <w:t xml:space="preserve">when assessing planning permit application for </w:t>
      </w:r>
      <w:proofErr w:type="spellStart"/>
      <w:r w:rsidRPr="00504456">
        <w:rPr>
          <w:rFonts w:ascii="Arial" w:hAnsi="Arial" w:cs="Arial"/>
        </w:rPr>
        <w:t>EGMs</w:t>
      </w:r>
      <w:proofErr w:type="spellEnd"/>
      <w:r w:rsidRPr="00504456">
        <w:rPr>
          <w:rFonts w:ascii="Arial" w:hAnsi="Arial" w:cs="Arial"/>
        </w:rPr>
        <w:t>.</w:t>
      </w:r>
      <w:bookmarkEnd w:id="72"/>
      <w:bookmarkEnd w:id="73"/>
      <w:bookmarkEnd w:id="74"/>
      <w:r w:rsidRPr="00504456">
        <w:rPr>
          <w:rFonts w:ascii="Arial" w:hAnsi="Arial" w:cs="Arial"/>
        </w:rPr>
        <w:t xml:space="preserve">  </w:t>
      </w:r>
      <w:bookmarkEnd w:id="75"/>
      <w:bookmarkEnd w:id="76"/>
      <w:bookmarkEnd w:id="77"/>
      <w:bookmarkEnd w:id="78"/>
      <w:bookmarkEnd w:id="79"/>
      <w:bookmarkEnd w:id="80"/>
      <w:bookmarkEnd w:id="81"/>
      <w:bookmarkEnd w:id="82"/>
      <w:bookmarkEnd w:id="83"/>
      <w:r w:rsidRPr="00504456">
        <w:rPr>
          <w:rFonts w:ascii="Arial" w:hAnsi="Arial" w:cs="Arial"/>
        </w:rPr>
        <w:t xml:space="preserve"> </w:t>
      </w:r>
    </w:p>
    <w:p w:rsidR="00A14868" w:rsidRPr="00504456" w:rsidRDefault="00A14868" w:rsidP="00A14868"/>
    <w:p w:rsidR="00A14868" w:rsidRPr="00504456" w:rsidRDefault="00B555E4" w:rsidP="00A14868">
      <w:pPr>
        <w:ind w:left="426"/>
        <w:rPr>
          <w:rFonts w:ascii="Arial" w:hAnsi="Arial" w:cs="Arial"/>
        </w:rPr>
      </w:pPr>
      <w:r w:rsidRPr="00504456">
        <w:rPr>
          <w:rFonts w:ascii="Arial" w:hAnsi="Arial" w:cs="Arial"/>
        </w:rPr>
        <w:t>Clause 52.28 - Gaming requires a planning permit to be issued before a gaming machine is installed or used. The purpose of clause 52.28 is to:</w:t>
      </w:r>
    </w:p>
    <w:p w:rsidR="00A14868" w:rsidRPr="00504456" w:rsidRDefault="00B555E4" w:rsidP="00A14868">
      <w:pPr>
        <w:numPr>
          <w:ilvl w:val="0"/>
          <w:numId w:val="20"/>
        </w:numPr>
        <w:rPr>
          <w:rFonts w:ascii="Arial" w:hAnsi="Arial" w:cs="Arial"/>
        </w:rPr>
      </w:pPr>
      <w:r w:rsidRPr="00504456">
        <w:rPr>
          <w:rFonts w:ascii="Arial" w:hAnsi="Arial" w:cs="Arial"/>
        </w:rPr>
        <w:t xml:space="preserve">ensure gaming machines are situated in appropriate locations and premises </w:t>
      </w:r>
    </w:p>
    <w:p w:rsidR="00A14868" w:rsidRPr="00504456" w:rsidRDefault="00B555E4" w:rsidP="00A14868">
      <w:pPr>
        <w:numPr>
          <w:ilvl w:val="0"/>
          <w:numId w:val="20"/>
        </w:numPr>
        <w:rPr>
          <w:rFonts w:ascii="Arial" w:hAnsi="Arial" w:cs="Arial"/>
        </w:rPr>
      </w:pPr>
      <w:r w:rsidRPr="00504456">
        <w:rPr>
          <w:rFonts w:ascii="Arial" w:hAnsi="Arial" w:cs="Arial"/>
        </w:rPr>
        <w:t xml:space="preserve">ensure the social and economic impacts of the location of gaming machines are considered </w:t>
      </w:r>
    </w:p>
    <w:p w:rsidR="00A14868" w:rsidRPr="00504456" w:rsidRDefault="00B555E4" w:rsidP="00A14868">
      <w:pPr>
        <w:numPr>
          <w:ilvl w:val="0"/>
          <w:numId w:val="20"/>
        </w:numPr>
        <w:rPr>
          <w:rFonts w:ascii="Arial" w:hAnsi="Arial" w:cs="Arial"/>
        </w:rPr>
      </w:pPr>
      <w:proofErr w:type="gramStart"/>
      <w:r w:rsidRPr="00504456">
        <w:rPr>
          <w:rFonts w:ascii="Arial" w:hAnsi="Arial" w:cs="Arial"/>
        </w:rPr>
        <w:t>prohibit</w:t>
      </w:r>
      <w:proofErr w:type="gramEnd"/>
      <w:r w:rsidRPr="00504456">
        <w:rPr>
          <w:rFonts w:ascii="Arial" w:hAnsi="Arial" w:cs="Arial"/>
        </w:rPr>
        <w:t xml:space="preserve"> gaming machines in specified shopping complexes and strip shopping </w:t>
      </w:r>
      <w:proofErr w:type="spellStart"/>
      <w:r w:rsidRPr="00504456">
        <w:rPr>
          <w:rFonts w:ascii="Arial" w:hAnsi="Arial" w:cs="Arial"/>
        </w:rPr>
        <w:t>centres</w:t>
      </w:r>
      <w:proofErr w:type="spellEnd"/>
      <w:r w:rsidRPr="00504456">
        <w:rPr>
          <w:rFonts w:ascii="Arial" w:hAnsi="Arial" w:cs="Arial"/>
        </w:rPr>
        <w:t xml:space="preserve">. </w:t>
      </w:r>
    </w:p>
    <w:p w:rsidR="00C73FE6" w:rsidRPr="00504456" w:rsidRDefault="00C73FE6" w:rsidP="00C73FE6">
      <w:pPr>
        <w:ind w:left="426"/>
        <w:rPr>
          <w:rFonts w:ascii="Arial" w:hAnsi="Arial" w:cs="Arial"/>
        </w:rPr>
      </w:pPr>
    </w:p>
    <w:p w:rsidR="00C73FE6" w:rsidRPr="00504456" w:rsidRDefault="00B555E4" w:rsidP="00C73FE6">
      <w:pPr>
        <w:ind w:left="426"/>
        <w:rPr>
          <w:rFonts w:ascii="Arial" w:hAnsi="Arial" w:cs="Arial"/>
        </w:rPr>
      </w:pPr>
      <w:r w:rsidRPr="00504456">
        <w:rPr>
          <w:rFonts w:ascii="Arial" w:hAnsi="Arial" w:cs="Arial"/>
        </w:rPr>
        <w:t>Council has to consider the decision guidelines of clause 52.28, which state:</w:t>
      </w:r>
    </w:p>
    <w:p w:rsidR="00C73FE6" w:rsidRPr="00504456" w:rsidRDefault="00B555E4" w:rsidP="00C73FE6">
      <w:pPr>
        <w:numPr>
          <w:ilvl w:val="0"/>
          <w:numId w:val="20"/>
        </w:numPr>
        <w:rPr>
          <w:rFonts w:ascii="Arial" w:hAnsi="Arial" w:cs="Arial"/>
        </w:rPr>
      </w:pPr>
      <w:r w:rsidRPr="00504456">
        <w:rPr>
          <w:rFonts w:ascii="Arial" w:hAnsi="Arial" w:cs="Arial"/>
        </w:rPr>
        <w:t>before deciding on an application, in addition to the decision guidelines of clause 65, the responsible authority must consider, as appropriate:</w:t>
      </w:r>
    </w:p>
    <w:p w:rsidR="00C73FE6" w:rsidRPr="00504456" w:rsidRDefault="00B555E4" w:rsidP="00C73FE6">
      <w:pPr>
        <w:pStyle w:val="ListParagraph"/>
        <w:numPr>
          <w:ilvl w:val="0"/>
          <w:numId w:val="15"/>
        </w:numPr>
        <w:autoSpaceDE w:val="0"/>
        <w:autoSpaceDN w:val="0"/>
        <w:adjustRightInd w:val="0"/>
        <w:spacing w:after="0" w:line="240" w:lineRule="auto"/>
        <w:ind w:right="1353"/>
        <w:rPr>
          <w:rFonts w:ascii="Arial" w:hAnsi="Arial" w:cs="Arial"/>
          <w:sz w:val="24"/>
          <w:szCs w:val="24"/>
          <w:lang w:val="en-AU"/>
        </w:rPr>
      </w:pPr>
      <w:r w:rsidRPr="00504456">
        <w:rPr>
          <w:rFonts w:ascii="Arial" w:hAnsi="Arial" w:cs="Arial"/>
          <w:sz w:val="24"/>
          <w:szCs w:val="24"/>
          <w:lang w:val="en-AU"/>
        </w:rPr>
        <w:t>the State Planning Policy Framework and the Local Planning Policy Framework, including the Municipal Strategic Statement and local planning policies</w:t>
      </w:r>
    </w:p>
    <w:p w:rsidR="00C73FE6" w:rsidRPr="00504456" w:rsidRDefault="00B555E4" w:rsidP="00C73FE6">
      <w:pPr>
        <w:pStyle w:val="ListParagraph"/>
        <w:numPr>
          <w:ilvl w:val="0"/>
          <w:numId w:val="15"/>
        </w:numPr>
        <w:autoSpaceDE w:val="0"/>
        <w:autoSpaceDN w:val="0"/>
        <w:adjustRightInd w:val="0"/>
        <w:spacing w:after="0" w:line="240" w:lineRule="auto"/>
        <w:ind w:right="1353"/>
        <w:rPr>
          <w:rFonts w:ascii="Arial" w:hAnsi="Arial" w:cs="Arial"/>
          <w:sz w:val="24"/>
          <w:szCs w:val="24"/>
          <w:lang w:val="en-AU"/>
        </w:rPr>
      </w:pPr>
      <w:r w:rsidRPr="00504456">
        <w:rPr>
          <w:rFonts w:ascii="Arial" w:hAnsi="Arial" w:cs="Arial"/>
          <w:sz w:val="24"/>
          <w:szCs w:val="24"/>
          <w:lang w:val="en-AU"/>
        </w:rPr>
        <w:t>the compatibility of the proposal with adjoining and nearby land uses</w:t>
      </w:r>
    </w:p>
    <w:p w:rsidR="00C73FE6" w:rsidRPr="00504456" w:rsidRDefault="00B555E4" w:rsidP="00C73FE6">
      <w:pPr>
        <w:pStyle w:val="ListParagraph"/>
        <w:numPr>
          <w:ilvl w:val="0"/>
          <w:numId w:val="15"/>
        </w:numPr>
        <w:autoSpaceDE w:val="0"/>
        <w:autoSpaceDN w:val="0"/>
        <w:adjustRightInd w:val="0"/>
        <w:spacing w:after="0" w:line="240" w:lineRule="auto"/>
        <w:ind w:right="1353"/>
        <w:rPr>
          <w:rFonts w:ascii="Arial" w:hAnsi="Arial" w:cs="Arial"/>
          <w:sz w:val="24"/>
          <w:szCs w:val="24"/>
          <w:lang w:val="en-AU"/>
        </w:rPr>
      </w:pPr>
      <w:r w:rsidRPr="00504456">
        <w:rPr>
          <w:rFonts w:ascii="Arial" w:hAnsi="Arial" w:cs="Arial"/>
          <w:sz w:val="24"/>
          <w:szCs w:val="24"/>
          <w:lang w:val="en-AU"/>
        </w:rPr>
        <w:t>the capability of the site to accommodate the proposal</w:t>
      </w:r>
    </w:p>
    <w:p w:rsidR="00C73FE6" w:rsidRPr="00504456" w:rsidRDefault="00B555E4" w:rsidP="00C73FE6">
      <w:pPr>
        <w:pStyle w:val="ListParagraph"/>
        <w:numPr>
          <w:ilvl w:val="0"/>
          <w:numId w:val="15"/>
        </w:numPr>
        <w:autoSpaceDE w:val="0"/>
        <w:autoSpaceDN w:val="0"/>
        <w:adjustRightInd w:val="0"/>
        <w:spacing w:after="0" w:line="240" w:lineRule="auto"/>
        <w:ind w:right="1353"/>
        <w:rPr>
          <w:rFonts w:ascii="Arial" w:hAnsi="Arial" w:cs="Arial"/>
          <w:sz w:val="24"/>
          <w:szCs w:val="24"/>
          <w:lang w:val="en-AU"/>
        </w:rPr>
      </w:pPr>
      <w:proofErr w:type="gramStart"/>
      <w:r w:rsidRPr="00504456">
        <w:rPr>
          <w:rFonts w:ascii="Arial" w:hAnsi="Arial" w:cs="Arial"/>
          <w:sz w:val="24"/>
          <w:szCs w:val="24"/>
          <w:lang w:val="en-AU"/>
        </w:rPr>
        <w:t>whether</w:t>
      </w:r>
      <w:proofErr w:type="gramEnd"/>
      <w:r w:rsidRPr="00504456">
        <w:rPr>
          <w:rFonts w:ascii="Arial" w:hAnsi="Arial" w:cs="Arial"/>
          <w:sz w:val="24"/>
          <w:szCs w:val="24"/>
          <w:lang w:val="en-AU"/>
        </w:rPr>
        <w:t xml:space="preserve"> the gaming premises provides a full range of hotel facilities or services to patrons or a full range of club facilities or services to members and patrons.</w:t>
      </w:r>
    </w:p>
    <w:p w:rsidR="00A14868" w:rsidRPr="00504456" w:rsidRDefault="00A14868" w:rsidP="00A14868">
      <w:pPr>
        <w:pStyle w:val="Default"/>
        <w:jc w:val="both"/>
        <w:rPr>
          <w:rFonts w:ascii="Arial" w:hAnsi="Arial" w:cs="Arial"/>
        </w:rPr>
      </w:pPr>
    </w:p>
    <w:p w:rsidR="00C73FE6" w:rsidRPr="00504456" w:rsidRDefault="00B555E4" w:rsidP="00C73FE6">
      <w:pPr>
        <w:pStyle w:val="Default"/>
        <w:ind w:left="426"/>
        <w:rPr>
          <w:rFonts w:ascii="Arial" w:hAnsi="Arial" w:cs="Arial"/>
          <w:color w:val="FF0000"/>
        </w:rPr>
      </w:pPr>
      <w:r w:rsidRPr="00504456">
        <w:rPr>
          <w:rFonts w:ascii="Arial" w:hAnsi="Arial" w:cs="Arial"/>
        </w:rPr>
        <w:t xml:space="preserve">Under clause 52.28, a planning permit for gaming machines is prohibited in shopping complexes or strip shopping centres that are listed in the schedules to clauses 52.28-3 </w:t>
      </w:r>
      <w:r w:rsidRPr="00504456">
        <w:rPr>
          <w:rFonts w:ascii="Arial" w:hAnsi="Arial" w:cs="Arial"/>
          <w:color w:val="auto"/>
        </w:rPr>
        <w:t xml:space="preserve">(see </w:t>
      </w:r>
      <w:r w:rsidRPr="00504456">
        <w:rPr>
          <w:rFonts w:ascii="Arial" w:hAnsi="Arial" w:cs="Arial"/>
          <w:b/>
          <w:color w:val="auto"/>
        </w:rPr>
        <w:t>Appendix 2</w:t>
      </w:r>
      <w:r w:rsidRPr="00504456">
        <w:rPr>
          <w:rFonts w:ascii="Arial" w:hAnsi="Arial" w:cs="Arial"/>
          <w:color w:val="auto"/>
        </w:rPr>
        <w:t xml:space="preserve">) and 52.28-4 (see </w:t>
      </w:r>
      <w:r w:rsidRPr="00504456">
        <w:rPr>
          <w:rFonts w:ascii="Arial" w:hAnsi="Arial" w:cs="Arial"/>
          <w:b/>
          <w:color w:val="auto"/>
        </w:rPr>
        <w:t>Appendix 3</w:t>
      </w:r>
      <w:r w:rsidRPr="00504456">
        <w:rPr>
          <w:rFonts w:ascii="Arial" w:hAnsi="Arial" w:cs="Arial"/>
          <w:color w:val="auto"/>
        </w:rPr>
        <w:t xml:space="preserve">). However, these prohibitions do not apply where the </w:t>
      </w:r>
      <w:proofErr w:type="spellStart"/>
      <w:r w:rsidRPr="00504456">
        <w:rPr>
          <w:rFonts w:ascii="Arial" w:hAnsi="Arial" w:cs="Arial"/>
          <w:color w:val="auto"/>
        </w:rPr>
        <w:t>EGMs</w:t>
      </w:r>
      <w:proofErr w:type="spellEnd"/>
      <w:r w:rsidRPr="00504456">
        <w:rPr>
          <w:rFonts w:ascii="Arial" w:hAnsi="Arial" w:cs="Arial"/>
          <w:color w:val="auto"/>
        </w:rPr>
        <w:t xml:space="preserve"> were installed or used in an approved venue under the Gambling Act on 18 October 2006 and the maximum number of </w:t>
      </w:r>
      <w:proofErr w:type="spellStart"/>
      <w:r w:rsidRPr="00504456">
        <w:rPr>
          <w:rFonts w:ascii="Arial" w:hAnsi="Arial" w:cs="Arial"/>
          <w:color w:val="auto"/>
        </w:rPr>
        <w:t>EGMs</w:t>
      </w:r>
      <w:proofErr w:type="spellEnd"/>
      <w:r w:rsidRPr="00504456">
        <w:rPr>
          <w:rFonts w:ascii="Arial" w:hAnsi="Arial" w:cs="Arial"/>
          <w:color w:val="auto"/>
        </w:rPr>
        <w:t xml:space="preserve"> for the approved venue on 18 October 2006 was not exceeded. Under the Victorian </w:t>
      </w:r>
      <w:r w:rsidRPr="00504456">
        <w:rPr>
          <w:rFonts w:ascii="Arial" w:hAnsi="Arial" w:cs="Arial"/>
        </w:rPr>
        <w:t xml:space="preserve">Planning Provisions, a planning permit for all new </w:t>
      </w:r>
      <w:proofErr w:type="spellStart"/>
      <w:r w:rsidRPr="00504456">
        <w:rPr>
          <w:rFonts w:ascii="Arial" w:hAnsi="Arial" w:cs="Arial"/>
        </w:rPr>
        <w:t>EGMs</w:t>
      </w:r>
      <w:proofErr w:type="spellEnd"/>
      <w:r w:rsidRPr="00504456">
        <w:rPr>
          <w:rFonts w:ascii="Arial" w:hAnsi="Arial" w:cs="Arial"/>
        </w:rPr>
        <w:t xml:space="preserve"> was not required until October 2006.</w:t>
      </w:r>
      <w:r w:rsidRPr="00504456">
        <w:rPr>
          <w:rFonts w:ascii="Arial" w:hAnsi="Arial" w:cs="Arial"/>
          <w:color w:val="FF0000"/>
        </w:rPr>
        <w:t xml:space="preserve"> </w:t>
      </w:r>
    </w:p>
    <w:p w:rsidR="00C73FE6" w:rsidRPr="00504456" w:rsidRDefault="00C73FE6" w:rsidP="00C73FE6">
      <w:pPr>
        <w:pStyle w:val="Default"/>
        <w:ind w:left="426"/>
        <w:rPr>
          <w:rFonts w:ascii="Arial" w:hAnsi="Arial" w:cs="Arial"/>
          <w:color w:val="FF0000"/>
        </w:rPr>
      </w:pPr>
    </w:p>
    <w:p w:rsidR="005377A1" w:rsidRPr="00504456" w:rsidRDefault="005377A1" w:rsidP="00694A80">
      <w:pPr>
        <w:rPr>
          <w:rFonts w:ascii="Arial" w:hAnsi="Arial" w:cs="Arial"/>
        </w:rPr>
      </w:pPr>
    </w:p>
    <w:p w:rsidR="00B83317" w:rsidRPr="00504456" w:rsidRDefault="009161A2" w:rsidP="009161A2">
      <w:pPr>
        <w:pStyle w:val="Default"/>
        <w:ind w:left="426"/>
        <w:rPr>
          <w:rFonts w:ascii="Arial" w:hAnsi="Arial" w:cs="Arial"/>
        </w:rPr>
      </w:pPr>
      <w:r w:rsidRPr="00504456">
        <w:rPr>
          <w:rFonts w:ascii="Arial" w:hAnsi="Arial" w:cs="Arial"/>
        </w:rPr>
        <w:t>There have also been a number of Victorian Civil and Administrative Tribunal (VCAT) decisions, commencing with the VCAT deci</w:t>
      </w:r>
      <w:r w:rsidR="009A79FE" w:rsidRPr="00504456">
        <w:rPr>
          <w:rFonts w:ascii="Arial" w:hAnsi="Arial" w:cs="Arial"/>
        </w:rPr>
        <w:t>sion in McKinnon Hotel Pty Ltd -</w:t>
      </w:r>
      <w:r w:rsidRPr="00504456">
        <w:rPr>
          <w:rFonts w:ascii="Arial" w:hAnsi="Arial" w:cs="Arial"/>
        </w:rPr>
        <w:t xml:space="preserve">v- Glen </w:t>
      </w:r>
      <w:proofErr w:type="spellStart"/>
      <w:r w:rsidRPr="00504456">
        <w:rPr>
          <w:rFonts w:ascii="Arial" w:hAnsi="Arial" w:cs="Arial"/>
        </w:rPr>
        <w:t>Eira</w:t>
      </w:r>
      <w:proofErr w:type="spellEnd"/>
      <w:r w:rsidRPr="00504456">
        <w:rPr>
          <w:rFonts w:ascii="Arial" w:hAnsi="Arial" w:cs="Arial"/>
        </w:rPr>
        <w:t xml:space="preserve"> City Council, that have determined that existing use rights may apply to hotels and clubs that had </w:t>
      </w:r>
      <w:proofErr w:type="spellStart"/>
      <w:r w:rsidRPr="00504456">
        <w:rPr>
          <w:rFonts w:ascii="Arial" w:hAnsi="Arial" w:cs="Arial"/>
        </w:rPr>
        <w:t>EGMs</w:t>
      </w:r>
      <w:proofErr w:type="spellEnd"/>
      <w:r w:rsidRPr="00504456">
        <w:rPr>
          <w:rFonts w:ascii="Arial" w:hAnsi="Arial" w:cs="Arial"/>
        </w:rPr>
        <w:t xml:space="preserve"> on 18 October 2006</w:t>
      </w:r>
      <w:r w:rsidR="009B077E" w:rsidRPr="00504456">
        <w:rPr>
          <w:rFonts w:ascii="Arial" w:hAnsi="Arial" w:cs="Arial"/>
        </w:rPr>
        <w:t>.</w:t>
      </w:r>
      <w:r w:rsidR="00613460" w:rsidRPr="00504456">
        <w:rPr>
          <w:rStyle w:val="FootnoteReference"/>
          <w:rFonts w:ascii="Arial" w:hAnsi="Arial" w:cs="Arial"/>
        </w:rPr>
        <w:footnoteReference w:id="41"/>
      </w:r>
      <w:r w:rsidRPr="00504456">
        <w:rPr>
          <w:rFonts w:ascii="Arial" w:hAnsi="Arial" w:cs="Arial"/>
        </w:rPr>
        <w:t xml:space="preserve"> Where existing use rights are found to apply, it may well be that the hotel or club in question does not require a planning permit to increase the number of </w:t>
      </w:r>
      <w:proofErr w:type="spellStart"/>
      <w:r w:rsidRPr="00504456">
        <w:rPr>
          <w:rFonts w:ascii="Arial" w:hAnsi="Arial" w:cs="Arial"/>
        </w:rPr>
        <w:t>EGMs</w:t>
      </w:r>
      <w:proofErr w:type="spellEnd"/>
      <w:r w:rsidRPr="00504456">
        <w:rPr>
          <w:rFonts w:ascii="Arial" w:hAnsi="Arial" w:cs="Arial"/>
        </w:rPr>
        <w:t xml:space="preserve"> at the venue</w:t>
      </w:r>
      <w:r w:rsidR="002377D6" w:rsidRPr="00504456">
        <w:rPr>
          <w:rFonts w:ascii="Arial" w:hAnsi="Arial" w:cs="Arial"/>
        </w:rPr>
        <w:t xml:space="preserve"> beyond the number operating in 2006</w:t>
      </w:r>
      <w:r w:rsidRPr="00504456">
        <w:rPr>
          <w:rFonts w:ascii="Arial" w:hAnsi="Arial" w:cs="Arial"/>
        </w:rPr>
        <w:t>.</w:t>
      </w:r>
      <w:r w:rsidR="001004FE" w:rsidRPr="00504456">
        <w:rPr>
          <w:rFonts w:ascii="Arial" w:hAnsi="Arial" w:cs="Arial"/>
        </w:rPr>
        <w:t xml:space="preserve"> Where that situation arises, clause 52.28 will not apply. The club or hotel will only require a planning permit if it intends to use a new building, or change the structure of a building, to accommodate </w:t>
      </w:r>
      <w:proofErr w:type="spellStart"/>
      <w:r w:rsidR="001004FE" w:rsidRPr="00504456">
        <w:rPr>
          <w:rFonts w:ascii="Arial" w:hAnsi="Arial" w:cs="Arial"/>
        </w:rPr>
        <w:t>EGMs</w:t>
      </w:r>
      <w:proofErr w:type="spellEnd"/>
      <w:r w:rsidR="001004FE" w:rsidRPr="00504456">
        <w:rPr>
          <w:rFonts w:ascii="Arial" w:hAnsi="Arial" w:cs="Arial"/>
        </w:rPr>
        <w:t xml:space="preserve">. </w:t>
      </w:r>
      <w:r w:rsidRPr="00504456">
        <w:rPr>
          <w:rFonts w:ascii="Arial" w:hAnsi="Arial" w:cs="Arial"/>
        </w:rPr>
        <w:t xml:space="preserve">However, even if the McKinnon Hotel situation exists, </w:t>
      </w:r>
      <w:r w:rsidR="00694A80" w:rsidRPr="00504456">
        <w:rPr>
          <w:rFonts w:ascii="Arial" w:hAnsi="Arial" w:cs="Arial"/>
        </w:rPr>
        <w:t xml:space="preserve">applicants still require </w:t>
      </w:r>
      <w:r w:rsidR="00AD3A56" w:rsidRPr="00504456">
        <w:rPr>
          <w:rFonts w:ascii="Arial" w:hAnsi="Arial" w:cs="Arial"/>
        </w:rPr>
        <w:t xml:space="preserve">a gaming licence </w:t>
      </w:r>
      <w:r w:rsidR="00694A80" w:rsidRPr="00504456">
        <w:rPr>
          <w:rFonts w:ascii="Arial" w:hAnsi="Arial" w:cs="Arial"/>
        </w:rPr>
        <w:t xml:space="preserve">permission </w:t>
      </w:r>
      <w:r w:rsidR="00AD3A56" w:rsidRPr="00504456">
        <w:rPr>
          <w:rFonts w:ascii="Arial" w:hAnsi="Arial" w:cs="Arial"/>
        </w:rPr>
        <w:t xml:space="preserve">from the </w:t>
      </w:r>
      <w:proofErr w:type="spellStart"/>
      <w:r w:rsidR="00AD3A56" w:rsidRPr="00504456">
        <w:rPr>
          <w:rFonts w:ascii="Arial" w:hAnsi="Arial" w:cs="Arial"/>
        </w:rPr>
        <w:t>VCGLR</w:t>
      </w:r>
      <w:proofErr w:type="spellEnd"/>
      <w:r w:rsidR="00AD3A56" w:rsidRPr="00504456">
        <w:rPr>
          <w:rFonts w:ascii="Arial" w:hAnsi="Arial" w:cs="Arial"/>
        </w:rPr>
        <w:t xml:space="preserve"> to operate </w:t>
      </w:r>
      <w:r w:rsidR="004F21D1" w:rsidRPr="00504456">
        <w:rPr>
          <w:rFonts w:ascii="Arial" w:hAnsi="Arial" w:cs="Arial"/>
        </w:rPr>
        <w:t xml:space="preserve">additional </w:t>
      </w:r>
      <w:proofErr w:type="spellStart"/>
      <w:r w:rsidR="004F21D1" w:rsidRPr="00504456">
        <w:rPr>
          <w:rFonts w:ascii="Arial" w:hAnsi="Arial" w:cs="Arial"/>
        </w:rPr>
        <w:t>EGMs</w:t>
      </w:r>
      <w:proofErr w:type="spellEnd"/>
      <w:r w:rsidR="00694A80" w:rsidRPr="00504456">
        <w:rPr>
          <w:rFonts w:ascii="Arial" w:hAnsi="Arial" w:cs="Arial"/>
        </w:rPr>
        <w:t>.</w:t>
      </w:r>
    </w:p>
    <w:p w:rsidR="00B83317" w:rsidRPr="00504456" w:rsidRDefault="00B83317" w:rsidP="009161A2">
      <w:pPr>
        <w:pStyle w:val="Default"/>
        <w:ind w:left="426"/>
        <w:rPr>
          <w:rFonts w:ascii="Arial" w:hAnsi="Arial" w:cs="Arial"/>
        </w:rPr>
      </w:pPr>
    </w:p>
    <w:p w:rsidR="00A14868" w:rsidRPr="00504456" w:rsidRDefault="00A14868" w:rsidP="00A14868">
      <w:pPr>
        <w:pStyle w:val="BodyText"/>
        <w:spacing w:after="0" w:line="240" w:lineRule="auto"/>
        <w:ind w:left="426"/>
        <w:rPr>
          <w:rFonts w:cs="Arial"/>
          <w:sz w:val="24"/>
        </w:rPr>
      </w:pPr>
      <w:r w:rsidRPr="00504456">
        <w:rPr>
          <w:sz w:val="24"/>
        </w:rPr>
        <w:t xml:space="preserve">Clause 22.14 - </w:t>
      </w:r>
      <w:r w:rsidR="00B555E4" w:rsidRPr="00504456">
        <w:rPr>
          <w:sz w:val="24"/>
        </w:rPr>
        <w:t>Electronic Gaming Machine Policy of the Boroondara Planning Scheme</w:t>
      </w:r>
      <w:r w:rsidR="00C17309" w:rsidRPr="00504456">
        <w:rPr>
          <w:sz w:val="24"/>
        </w:rPr>
        <w:t xml:space="preserve"> </w:t>
      </w:r>
      <w:r w:rsidR="00B555E4" w:rsidRPr="00504456">
        <w:rPr>
          <w:sz w:val="24"/>
        </w:rPr>
        <w:t>is due for review</w:t>
      </w:r>
      <w:r w:rsidR="004E29E4" w:rsidRPr="00504456">
        <w:rPr>
          <w:sz w:val="24"/>
        </w:rPr>
        <w:t xml:space="preserve"> (see </w:t>
      </w:r>
      <w:r w:rsidR="004E29E4" w:rsidRPr="00504456">
        <w:rPr>
          <w:b/>
          <w:sz w:val="24"/>
        </w:rPr>
        <w:t>Appendix 4</w:t>
      </w:r>
      <w:r w:rsidR="004E29E4" w:rsidRPr="00504456">
        <w:rPr>
          <w:sz w:val="24"/>
        </w:rPr>
        <w:t>)</w:t>
      </w:r>
      <w:r w:rsidR="00B555E4" w:rsidRPr="00504456">
        <w:rPr>
          <w:sz w:val="24"/>
        </w:rPr>
        <w:t xml:space="preserve">. </w:t>
      </w:r>
      <w:r w:rsidR="00733C22" w:rsidRPr="00504456">
        <w:rPr>
          <w:sz w:val="24"/>
        </w:rPr>
        <w:t>Clause 22.14 has not been reviewed since it was introduced into the new format in the Boroondara Planning Scheme in Decem</w:t>
      </w:r>
      <w:r w:rsidR="00811464" w:rsidRPr="00504456">
        <w:rPr>
          <w:sz w:val="24"/>
        </w:rPr>
        <w:t xml:space="preserve">ber 1999. </w:t>
      </w:r>
      <w:r w:rsidR="004A6E7C" w:rsidRPr="00504456">
        <w:rPr>
          <w:sz w:val="24"/>
        </w:rPr>
        <w:t>C</w:t>
      </w:r>
      <w:r w:rsidR="00733C22" w:rsidRPr="00504456">
        <w:rPr>
          <w:sz w:val="24"/>
        </w:rPr>
        <w:t xml:space="preserve">lause 22.14 provides little policy direction that assists with the assessment of planning permit applications for </w:t>
      </w:r>
      <w:proofErr w:type="spellStart"/>
      <w:r w:rsidR="00733C22" w:rsidRPr="00504456">
        <w:rPr>
          <w:sz w:val="24"/>
        </w:rPr>
        <w:t>EGMs</w:t>
      </w:r>
      <w:proofErr w:type="spellEnd"/>
      <w:r w:rsidR="00733C22" w:rsidRPr="00504456">
        <w:rPr>
          <w:sz w:val="24"/>
        </w:rPr>
        <w:t xml:space="preserve">. It also directs </w:t>
      </w:r>
      <w:proofErr w:type="spellStart"/>
      <w:r w:rsidR="00733C22" w:rsidRPr="00504456">
        <w:rPr>
          <w:sz w:val="24"/>
        </w:rPr>
        <w:t>EGMs</w:t>
      </w:r>
      <w:proofErr w:type="spellEnd"/>
      <w:r w:rsidR="00733C22" w:rsidRPr="00504456">
        <w:rPr>
          <w:sz w:val="24"/>
        </w:rPr>
        <w:t xml:space="preserve"> to locations where they are prohibited by the schedules to clause 52.28 of the Boroondara Planning Scheme. In its current form the clause is</w:t>
      </w:r>
      <w:r w:rsidR="002377D6" w:rsidRPr="00504456">
        <w:rPr>
          <w:sz w:val="24"/>
        </w:rPr>
        <w:t xml:space="preserve"> </w:t>
      </w:r>
      <w:r w:rsidR="00733C22" w:rsidRPr="00504456">
        <w:rPr>
          <w:sz w:val="24"/>
        </w:rPr>
        <w:t xml:space="preserve">redundant. </w:t>
      </w:r>
      <w:r w:rsidR="00B555E4" w:rsidRPr="00504456">
        <w:rPr>
          <w:sz w:val="24"/>
        </w:rPr>
        <w:t xml:space="preserve">However, until </w:t>
      </w:r>
      <w:r w:rsidR="00CA5BB1" w:rsidRPr="00504456">
        <w:rPr>
          <w:sz w:val="24"/>
        </w:rPr>
        <w:t>clause 22.14</w:t>
      </w:r>
      <w:r w:rsidR="00B555E4" w:rsidRPr="00504456">
        <w:rPr>
          <w:sz w:val="24"/>
        </w:rPr>
        <w:t xml:space="preserve"> has been reviewed this policy must also be considered in the assessment of an application for the installation or use of </w:t>
      </w:r>
      <w:proofErr w:type="spellStart"/>
      <w:r w:rsidR="00B555E4" w:rsidRPr="00504456">
        <w:rPr>
          <w:sz w:val="24"/>
        </w:rPr>
        <w:t>EGMs</w:t>
      </w:r>
      <w:proofErr w:type="spellEnd"/>
      <w:r w:rsidR="00B555E4" w:rsidRPr="00504456">
        <w:rPr>
          <w:sz w:val="24"/>
        </w:rPr>
        <w:t>.</w:t>
      </w:r>
      <w:r w:rsidRPr="00504456">
        <w:rPr>
          <w:sz w:val="24"/>
        </w:rPr>
        <w:t xml:space="preserve"> </w:t>
      </w:r>
      <w:r w:rsidRPr="00504456">
        <w:rPr>
          <w:rFonts w:cs="Arial"/>
          <w:sz w:val="24"/>
        </w:rPr>
        <w:t xml:space="preserve">The objectives of this policy </w:t>
      </w:r>
      <w:r w:rsidRPr="00504456">
        <w:rPr>
          <w:rFonts w:cs="Arial"/>
          <w:i/>
          <w:sz w:val="24"/>
        </w:rPr>
        <w:t>(</w:t>
      </w:r>
      <w:r w:rsidR="00E77536" w:rsidRPr="00504456">
        <w:rPr>
          <w:rFonts w:cs="Arial"/>
          <w:sz w:val="24"/>
        </w:rPr>
        <w:t>c</w:t>
      </w:r>
      <w:r w:rsidRPr="00504456">
        <w:rPr>
          <w:rFonts w:cs="Arial"/>
          <w:sz w:val="24"/>
        </w:rPr>
        <w:t xml:space="preserve">lause 22.14-2) are: </w:t>
      </w:r>
    </w:p>
    <w:p w:rsidR="00A14868" w:rsidRPr="00504456" w:rsidRDefault="00BF74CC" w:rsidP="00A14868">
      <w:pPr>
        <w:numPr>
          <w:ilvl w:val="0"/>
          <w:numId w:val="20"/>
        </w:numPr>
        <w:rPr>
          <w:rFonts w:ascii="Arial" w:hAnsi="Arial" w:cs="Arial"/>
        </w:rPr>
      </w:pPr>
      <w:r w:rsidRPr="00504456">
        <w:rPr>
          <w:rFonts w:ascii="Arial" w:hAnsi="Arial" w:cs="Arial"/>
        </w:rPr>
        <w:t xml:space="preserve">to </w:t>
      </w:r>
      <w:proofErr w:type="spellStart"/>
      <w:r w:rsidRPr="00504456">
        <w:rPr>
          <w:rFonts w:ascii="Arial" w:hAnsi="Arial" w:cs="Arial"/>
        </w:rPr>
        <w:t>recognise</w:t>
      </w:r>
      <w:proofErr w:type="spellEnd"/>
      <w:r w:rsidRPr="00504456">
        <w:rPr>
          <w:rFonts w:ascii="Arial" w:hAnsi="Arial" w:cs="Arial"/>
        </w:rPr>
        <w:t xml:space="preserve"> the impact that </w:t>
      </w:r>
      <w:proofErr w:type="spellStart"/>
      <w:r w:rsidRPr="00504456">
        <w:rPr>
          <w:rFonts w:ascii="Arial" w:hAnsi="Arial" w:cs="Arial"/>
        </w:rPr>
        <w:t>EGM</w:t>
      </w:r>
      <w:proofErr w:type="spellEnd"/>
      <w:r w:rsidRPr="00504456">
        <w:rPr>
          <w:rFonts w:ascii="Arial" w:hAnsi="Arial" w:cs="Arial"/>
        </w:rPr>
        <w:t xml:space="preserve"> venues may have on surrounding communities</w:t>
      </w:r>
    </w:p>
    <w:p w:rsidR="00A14868" w:rsidRPr="00504456" w:rsidRDefault="00BF74CC" w:rsidP="00A14868">
      <w:pPr>
        <w:numPr>
          <w:ilvl w:val="0"/>
          <w:numId w:val="20"/>
        </w:numPr>
        <w:rPr>
          <w:rFonts w:ascii="Arial" w:hAnsi="Arial" w:cs="Arial"/>
        </w:rPr>
      </w:pPr>
      <w:proofErr w:type="gramStart"/>
      <w:r w:rsidRPr="00504456">
        <w:rPr>
          <w:rFonts w:ascii="Arial" w:hAnsi="Arial" w:cs="Arial"/>
        </w:rPr>
        <w:t>to</w:t>
      </w:r>
      <w:proofErr w:type="gramEnd"/>
      <w:r w:rsidRPr="00504456">
        <w:rPr>
          <w:rFonts w:ascii="Arial" w:hAnsi="Arial" w:cs="Arial"/>
        </w:rPr>
        <w:t xml:space="preserve"> ensure that </w:t>
      </w:r>
      <w:proofErr w:type="spellStart"/>
      <w:r w:rsidRPr="00504456">
        <w:rPr>
          <w:rFonts w:ascii="Arial" w:hAnsi="Arial" w:cs="Arial"/>
        </w:rPr>
        <w:t>EGMs</w:t>
      </w:r>
      <w:proofErr w:type="spellEnd"/>
      <w:r w:rsidRPr="00504456">
        <w:rPr>
          <w:rFonts w:ascii="Arial" w:hAnsi="Arial" w:cs="Arial"/>
        </w:rPr>
        <w:t xml:space="preserve"> are primarily located in existing venues in commercial </w:t>
      </w:r>
      <w:proofErr w:type="spellStart"/>
      <w:r w:rsidRPr="00504456">
        <w:rPr>
          <w:rFonts w:ascii="Arial" w:hAnsi="Arial" w:cs="Arial"/>
        </w:rPr>
        <w:t>centres</w:t>
      </w:r>
      <w:proofErr w:type="spellEnd"/>
      <w:r w:rsidRPr="00504456">
        <w:rPr>
          <w:rFonts w:ascii="Arial" w:hAnsi="Arial" w:cs="Arial"/>
        </w:rPr>
        <w:t xml:space="preserve">. </w:t>
      </w:r>
    </w:p>
    <w:p w:rsidR="009161A2" w:rsidRPr="00504456" w:rsidRDefault="009161A2" w:rsidP="009161A2"/>
    <w:p w:rsidR="009161A2" w:rsidRPr="00504456" w:rsidRDefault="002377D6" w:rsidP="002377D6">
      <w:pPr>
        <w:pStyle w:val="BodyText"/>
        <w:spacing w:after="0" w:line="240" w:lineRule="auto"/>
        <w:ind w:left="426"/>
        <w:rPr>
          <w:sz w:val="24"/>
        </w:rPr>
      </w:pPr>
      <w:r w:rsidRPr="00504456">
        <w:rPr>
          <w:sz w:val="24"/>
        </w:rPr>
        <w:t>Clause 22.14-3 currently states that</w:t>
      </w:r>
      <w:r w:rsidR="009161A2" w:rsidRPr="00504456">
        <w:rPr>
          <w:sz w:val="24"/>
        </w:rPr>
        <w:t xml:space="preserve">: </w:t>
      </w:r>
    </w:p>
    <w:p w:rsidR="009161A2" w:rsidRPr="00504456" w:rsidRDefault="009161A2" w:rsidP="002F1C95">
      <w:pPr>
        <w:numPr>
          <w:ilvl w:val="0"/>
          <w:numId w:val="20"/>
        </w:numPr>
        <w:spacing w:after="240"/>
        <w:rPr>
          <w:rFonts w:ascii="Arial" w:hAnsi="Arial" w:cs="Arial"/>
        </w:rPr>
      </w:pPr>
      <w:proofErr w:type="spellStart"/>
      <w:r w:rsidRPr="00504456">
        <w:rPr>
          <w:rFonts w:ascii="Arial" w:hAnsi="Arial" w:cs="Arial"/>
        </w:rPr>
        <w:t>EGMs</w:t>
      </w:r>
      <w:proofErr w:type="spellEnd"/>
      <w:r w:rsidRPr="00504456">
        <w:rPr>
          <w:rFonts w:ascii="Arial" w:hAnsi="Arial" w:cs="Arial"/>
        </w:rPr>
        <w:t xml:space="preserve"> </w:t>
      </w:r>
      <w:proofErr w:type="gramStart"/>
      <w:r w:rsidRPr="00504456">
        <w:rPr>
          <w:rFonts w:ascii="Arial" w:hAnsi="Arial" w:cs="Arial"/>
        </w:rPr>
        <w:t>be</w:t>
      </w:r>
      <w:proofErr w:type="gramEnd"/>
      <w:r w:rsidRPr="00504456">
        <w:rPr>
          <w:rFonts w:ascii="Arial" w:hAnsi="Arial" w:cs="Arial"/>
        </w:rPr>
        <w:t xml:space="preserve"> restricted to existing venues in commercial strip shopping </w:t>
      </w:r>
      <w:proofErr w:type="spellStart"/>
      <w:r w:rsidRPr="00504456">
        <w:rPr>
          <w:rFonts w:ascii="Arial" w:hAnsi="Arial" w:cs="Arial"/>
        </w:rPr>
        <w:t>centres</w:t>
      </w:r>
      <w:proofErr w:type="spellEnd"/>
      <w:r w:rsidRPr="00504456">
        <w:rPr>
          <w:rFonts w:ascii="Arial" w:hAnsi="Arial" w:cs="Arial"/>
        </w:rPr>
        <w:t xml:space="preserve"> unless an applicant is able to demonstrate a net community benefit in locating outside of a commercial </w:t>
      </w:r>
      <w:proofErr w:type="spellStart"/>
      <w:r w:rsidRPr="00504456">
        <w:rPr>
          <w:rFonts w:ascii="Arial" w:hAnsi="Arial" w:cs="Arial"/>
        </w:rPr>
        <w:t>centre</w:t>
      </w:r>
      <w:proofErr w:type="spellEnd"/>
      <w:r w:rsidR="002377D6" w:rsidRPr="00504456">
        <w:rPr>
          <w:rFonts w:ascii="Arial" w:hAnsi="Arial" w:cs="Arial"/>
        </w:rPr>
        <w:t>.</w:t>
      </w:r>
    </w:p>
    <w:p w:rsidR="00A14868" w:rsidRPr="00504456" w:rsidRDefault="00BF74CC" w:rsidP="00036CC5">
      <w:pPr>
        <w:numPr>
          <w:ilvl w:val="0"/>
          <w:numId w:val="38"/>
        </w:numPr>
        <w:ind w:left="426"/>
        <w:rPr>
          <w:rFonts w:ascii="Arial" w:hAnsi="Arial" w:cs="Arial"/>
        </w:rPr>
      </w:pPr>
      <w:bookmarkStart w:id="85" w:name="_Toc355356480"/>
      <w:bookmarkStart w:id="86" w:name="_Toc355356657"/>
      <w:bookmarkStart w:id="87" w:name="_Toc355356822"/>
      <w:bookmarkStart w:id="88" w:name="_Toc355614003"/>
      <w:bookmarkStart w:id="89" w:name="_Toc352933247"/>
      <w:bookmarkStart w:id="90" w:name="_Toc352933424"/>
      <w:bookmarkStart w:id="91" w:name="_Toc352933521"/>
      <w:bookmarkStart w:id="92" w:name="_Toc352933637"/>
      <w:bookmarkStart w:id="93" w:name="_Toc352937981"/>
      <w:bookmarkStart w:id="94" w:name="_Toc355356481"/>
      <w:bookmarkStart w:id="95" w:name="_Toc355356658"/>
      <w:bookmarkStart w:id="96" w:name="_Toc355356823"/>
      <w:bookmarkStart w:id="97" w:name="_Toc355614004"/>
      <w:bookmarkStart w:id="98" w:name="_Toc355356482"/>
      <w:bookmarkStart w:id="99" w:name="_Toc355356659"/>
      <w:bookmarkStart w:id="100" w:name="_Toc355356824"/>
      <w:bookmarkStart w:id="101" w:name="_Toc355614005"/>
      <w:bookmarkStart w:id="102" w:name="_Toc355356483"/>
      <w:bookmarkStart w:id="103" w:name="_Toc355356660"/>
      <w:bookmarkStart w:id="104" w:name="_Toc355356825"/>
      <w:bookmarkStart w:id="105" w:name="_Toc355614006"/>
      <w:bookmarkStart w:id="106" w:name="_Toc355356486"/>
      <w:bookmarkStart w:id="107" w:name="_Toc355356663"/>
      <w:bookmarkStart w:id="108" w:name="_Toc355356828"/>
      <w:bookmarkStart w:id="109" w:name="_Toc355614009"/>
      <w:bookmarkStart w:id="110" w:name="_Toc355356487"/>
      <w:bookmarkStart w:id="111" w:name="_Toc355356664"/>
      <w:bookmarkStart w:id="112" w:name="_Toc355356829"/>
      <w:bookmarkStart w:id="113" w:name="_Toc355614010"/>
      <w:bookmarkStart w:id="114" w:name="_Toc355356488"/>
      <w:bookmarkStart w:id="115" w:name="_Toc355356830"/>
      <w:bookmarkStart w:id="116" w:name="_Toc35561401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04456">
        <w:rPr>
          <w:rFonts w:ascii="Arial" w:hAnsi="Arial" w:cs="Arial"/>
          <w:u w:val="single"/>
        </w:rPr>
        <w:t>Other relevant Council documents</w:t>
      </w:r>
      <w:r w:rsidR="00A14868" w:rsidRPr="00504456">
        <w:rPr>
          <w:rFonts w:ascii="Arial" w:hAnsi="Arial" w:cs="Arial"/>
        </w:rPr>
        <w:t xml:space="preserve"> - </w:t>
      </w:r>
      <w:r w:rsidR="00677204" w:rsidRPr="00504456">
        <w:rPr>
          <w:rFonts w:ascii="Arial" w:hAnsi="Arial" w:cs="Arial"/>
        </w:rPr>
        <w:t>t</w:t>
      </w:r>
      <w:bookmarkStart w:id="117" w:name="_Toc355356489"/>
      <w:bookmarkStart w:id="118" w:name="_Toc355356831"/>
      <w:bookmarkStart w:id="119" w:name="_Toc355614012"/>
      <w:bookmarkEnd w:id="114"/>
      <w:bookmarkEnd w:id="115"/>
      <w:bookmarkEnd w:id="116"/>
      <w:r w:rsidR="00A14868" w:rsidRPr="00504456">
        <w:rPr>
          <w:rFonts w:ascii="Arial" w:hAnsi="Arial" w:cs="Arial"/>
        </w:rPr>
        <w:t>he Council documents noted below are also relevant to the Responsible Gambling Policy 2013-1</w:t>
      </w:r>
      <w:r w:rsidR="00A547D1" w:rsidRPr="00504456">
        <w:rPr>
          <w:rFonts w:ascii="Arial" w:hAnsi="Arial" w:cs="Arial"/>
        </w:rPr>
        <w:t>8</w:t>
      </w:r>
      <w:r w:rsidR="00A14868" w:rsidRPr="00504456">
        <w:rPr>
          <w:rFonts w:ascii="Arial" w:hAnsi="Arial" w:cs="Arial"/>
        </w:rPr>
        <w:t>.  They include strategies and actions related to alternative social, cultural and recreational opportunities that could be promoted as an alternative to gambling:</w:t>
      </w:r>
      <w:bookmarkEnd w:id="117"/>
      <w:bookmarkEnd w:id="118"/>
      <w:bookmarkEnd w:id="119"/>
      <w:r w:rsidR="00A14868" w:rsidRPr="00504456">
        <w:rPr>
          <w:rFonts w:ascii="Arial" w:hAnsi="Arial" w:cs="Arial"/>
        </w:rPr>
        <w:t xml:space="preserve"> </w:t>
      </w:r>
    </w:p>
    <w:p w:rsidR="00A14868" w:rsidRPr="00504456" w:rsidRDefault="00A14868" w:rsidP="00A14868">
      <w:pPr>
        <w:numPr>
          <w:ilvl w:val="0"/>
          <w:numId w:val="10"/>
        </w:numPr>
        <w:rPr>
          <w:rFonts w:ascii="Arial" w:hAnsi="Arial" w:cs="Arial"/>
        </w:rPr>
      </w:pPr>
      <w:r w:rsidRPr="00504456">
        <w:rPr>
          <w:rFonts w:ascii="Arial" w:hAnsi="Arial" w:cs="Arial"/>
        </w:rPr>
        <w:t>Arts and Culture Strategy 2008-13</w:t>
      </w:r>
    </w:p>
    <w:p w:rsidR="00A14868" w:rsidRPr="00504456" w:rsidRDefault="00A14868" w:rsidP="00A14868">
      <w:pPr>
        <w:numPr>
          <w:ilvl w:val="0"/>
          <w:numId w:val="10"/>
        </w:numPr>
        <w:rPr>
          <w:rFonts w:ascii="Arial" w:hAnsi="Arial" w:cs="Arial"/>
        </w:rPr>
      </w:pPr>
      <w:r w:rsidRPr="00504456">
        <w:rPr>
          <w:rFonts w:ascii="Arial" w:hAnsi="Arial" w:cs="Arial"/>
        </w:rPr>
        <w:t>Boroondara Young People's Strategy 2009-14</w:t>
      </w:r>
    </w:p>
    <w:p w:rsidR="00A14868" w:rsidRPr="00504456" w:rsidRDefault="00A14868" w:rsidP="00A14868">
      <w:pPr>
        <w:numPr>
          <w:ilvl w:val="0"/>
          <w:numId w:val="10"/>
        </w:numPr>
        <w:rPr>
          <w:rFonts w:ascii="Arial" w:hAnsi="Arial" w:cs="Arial"/>
        </w:rPr>
      </w:pPr>
      <w:r w:rsidRPr="00504456">
        <w:rPr>
          <w:rFonts w:ascii="Arial" w:hAnsi="Arial" w:cs="Arial"/>
        </w:rPr>
        <w:t>Boroondara Volunteer Resource Centre Strategy Plan 2008-12</w:t>
      </w:r>
    </w:p>
    <w:p w:rsidR="00A14868" w:rsidRPr="00504456" w:rsidRDefault="00A14868" w:rsidP="00A14868">
      <w:pPr>
        <w:numPr>
          <w:ilvl w:val="0"/>
          <w:numId w:val="10"/>
        </w:numPr>
        <w:rPr>
          <w:rFonts w:ascii="Arial" w:hAnsi="Arial" w:cs="Arial"/>
        </w:rPr>
      </w:pPr>
      <w:r w:rsidRPr="00504456">
        <w:rPr>
          <w:rFonts w:ascii="Arial" w:hAnsi="Arial" w:cs="Arial"/>
        </w:rPr>
        <w:t>Cultural Facilities Strategy 2009-14</w:t>
      </w:r>
    </w:p>
    <w:p w:rsidR="00A14868" w:rsidRPr="00504456" w:rsidRDefault="00A14868" w:rsidP="00A14868">
      <w:pPr>
        <w:numPr>
          <w:ilvl w:val="0"/>
          <w:numId w:val="10"/>
        </w:numPr>
        <w:rPr>
          <w:rFonts w:ascii="Arial" w:hAnsi="Arial" w:cs="Arial"/>
        </w:rPr>
      </w:pPr>
      <w:r w:rsidRPr="00504456">
        <w:rPr>
          <w:rFonts w:ascii="Arial" w:hAnsi="Arial" w:cs="Arial"/>
        </w:rPr>
        <w:t>Creating an Age Friendly Boroondara 2009-14</w:t>
      </w:r>
    </w:p>
    <w:p w:rsidR="00A14868" w:rsidRPr="00504456" w:rsidRDefault="00A14868" w:rsidP="00A14868">
      <w:pPr>
        <w:numPr>
          <w:ilvl w:val="0"/>
          <w:numId w:val="10"/>
        </w:numPr>
        <w:rPr>
          <w:rFonts w:ascii="Arial" w:hAnsi="Arial" w:cs="Arial"/>
        </w:rPr>
      </w:pPr>
      <w:r w:rsidRPr="00504456">
        <w:rPr>
          <w:rFonts w:ascii="Arial" w:hAnsi="Arial" w:cs="Arial"/>
        </w:rPr>
        <w:t>Leisure Facilities Strategy Plan</w:t>
      </w:r>
    </w:p>
    <w:p w:rsidR="00A14868" w:rsidRPr="00504456" w:rsidRDefault="00A14868" w:rsidP="00A14868">
      <w:pPr>
        <w:numPr>
          <w:ilvl w:val="0"/>
          <w:numId w:val="10"/>
        </w:numPr>
        <w:rPr>
          <w:rFonts w:ascii="Arial" w:hAnsi="Arial" w:cs="Arial"/>
        </w:rPr>
      </w:pPr>
      <w:r w:rsidRPr="00504456">
        <w:rPr>
          <w:rFonts w:ascii="Arial" w:hAnsi="Arial" w:cs="Arial"/>
        </w:rPr>
        <w:lastRenderedPageBreak/>
        <w:t>Library Services Future Directions Strategy 2004-14</w:t>
      </w:r>
    </w:p>
    <w:p w:rsidR="00A14868" w:rsidRPr="00504456" w:rsidRDefault="00A14868" w:rsidP="00A14868">
      <w:pPr>
        <w:numPr>
          <w:ilvl w:val="0"/>
          <w:numId w:val="10"/>
        </w:numPr>
        <w:rPr>
          <w:rFonts w:ascii="Arial" w:hAnsi="Arial" w:cs="Arial"/>
        </w:rPr>
      </w:pPr>
      <w:proofErr w:type="spellStart"/>
      <w:r w:rsidRPr="00504456">
        <w:rPr>
          <w:rFonts w:ascii="Arial" w:hAnsi="Arial" w:cs="Arial"/>
        </w:rPr>
        <w:t>Neighbourhood</w:t>
      </w:r>
      <w:proofErr w:type="spellEnd"/>
      <w:r w:rsidRPr="00504456">
        <w:rPr>
          <w:rFonts w:ascii="Arial" w:hAnsi="Arial" w:cs="Arial"/>
        </w:rPr>
        <w:t xml:space="preserve"> House Plan 2009-13</w:t>
      </w:r>
    </w:p>
    <w:p w:rsidR="00A14868" w:rsidRPr="00504456" w:rsidRDefault="00A14868" w:rsidP="00A14868">
      <w:pPr>
        <w:pStyle w:val="Heading1"/>
      </w:pPr>
      <w:bookmarkStart w:id="120" w:name="_Toc372787031"/>
      <w:r w:rsidRPr="00504456">
        <w:t>Methodology</w:t>
      </w:r>
      <w:bookmarkEnd w:id="120"/>
    </w:p>
    <w:p w:rsidR="00A14868" w:rsidRPr="00504456" w:rsidRDefault="002A7B63" w:rsidP="00A14868">
      <w:pPr>
        <w:rPr>
          <w:rFonts w:ascii="Arial" w:hAnsi="Arial" w:cs="Arial"/>
        </w:rPr>
      </w:pPr>
      <w:r w:rsidRPr="00504456">
        <w:rPr>
          <w:rFonts w:ascii="Arial" w:hAnsi="Arial" w:cs="Arial"/>
        </w:rPr>
        <w:t>The d</w:t>
      </w:r>
      <w:r w:rsidR="00A14868" w:rsidRPr="00504456">
        <w:rPr>
          <w:rFonts w:ascii="Arial" w:hAnsi="Arial" w:cs="Arial"/>
        </w:rPr>
        <w:t>evelopment of this policy involved the following stages:</w:t>
      </w:r>
    </w:p>
    <w:p w:rsidR="00A14868" w:rsidRPr="00504456" w:rsidRDefault="00A14868" w:rsidP="00A14868">
      <w:pPr>
        <w:numPr>
          <w:ilvl w:val="0"/>
          <w:numId w:val="19"/>
        </w:numPr>
        <w:rPr>
          <w:rFonts w:ascii="Arial" w:hAnsi="Arial" w:cs="Arial"/>
        </w:rPr>
      </w:pPr>
      <w:r w:rsidRPr="00504456">
        <w:rPr>
          <w:rFonts w:ascii="Arial" w:hAnsi="Arial" w:cs="Arial"/>
        </w:rPr>
        <w:t xml:space="preserve">a review of the City of Boroondara Gaming Policy July 2008 to clarify if the information was still accurate and if the objectives and strategies remained relevant </w:t>
      </w:r>
    </w:p>
    <w:p w:rsidR="00A14868" w:rsidRPr="00504456" w:rsidRDefault="00A14868" w:rsidP="00A14868">
      <w:pPr>
        <w:numPr>
          <w:ilvl w:val="0"/>
          <w:numId w:val="19"/>
        </w:numPr>
        <w:rPr>
          <w:rFonts w:ascii="Arial" w:hAnsi="Arial" w:cs="Arial"/>
        </w:rPr>
      </w:pPr>
      <w:r w:rsidRPr="00504456">
        <w:rPr>
          <w:rFonts w:ascii="Arial" w:hAnsi="Arial" w:cs="Arial"/>
        </w:rPr>
        <w:t xml:space="preserve">a review of the legislative context for </w:t>
      </w:r>
      <w:proofErr w:type="spellStart"/>
      <w:r w:rsidRPr="00504456">
        <w:rPr>
          <w:rFonts w:ascii="Arial" w:hAnsi="Arial" w:cs="Arial"/>
        </w:rPr>
        <w:t>EGM</w:t>
      </w:r>
      <w:proofErr w:type="spellEnd"/>
      <w:r w:rsidRPr="00504456">
        <w:rPr>
          <w:rFonts w:ascii="Arial" w:hAnsi="Arial" w:cs="Arial"/>
        </w:rPr>
        <w:t xml:space="preserve"> gaming in Victoria and a review of the policy context in the City of Boroondara, Victoria and Australia</w:t>
      </w:r>
    </w:p>
    <w:p w:rsidR="00A14868" w:rsidRPr="00504456" w:rsidRDefault="00A14868" w:rsidP="00A14868">
      <w:pPr>
        <w:numPr>
          <w:ilvl w:val="0"/>
          <w:numId w:val="19"/>
        </w:numPr>
        <w:rPr>
          <w:rFonts w:ascii="Arial" w:hAnsi="Arial" w:cs="Arial"/>
        </w:rPr>
      </w:pPr>
      <w:r w:rsidRPr="00504456">
        <w:rPr>
          <w:rFonts w:ascii="Arial" w:hAnsi="Arial" w:cs="Arial"/>
        </w:rPr>
        <w:t xml:space="preserve">a review of </w:t>
      </w:r>
      <w:proofErr w:type="spellStart"/>
      <w:r w:rsidRPr="00504456">
        <w:rPr>
          <w:rFonts w:ascii="Arial" w:hAnsi="Arial" w:cs="Arial"/>
        </w:rPr>
        <w:t>EGM</w:t>
      </w:r>
      <w:proofErr w:type="spellEnd"/>
      <w:r w:rsidRPr="00504456">
        <w:rPr>
          <w:rFonts w:ascii="Arial" w:hAnsi="Arial" w:cs="Arial"/>
        </w:rPr>
        <w:t xml:space="preserve"> statistics in the City of Boroondara, the </w:t>
      </w:r>
      <w:proofErr w:type="spellStart"/>
      <w:r w:rsidRPr="00504456">
        <w:rPr>
          <w:rFonts w:ascii="Arial" w:hAnsi="Arial" w:cs="Arial"/>
        </w:rPr>
        <w:t>EMR</w:t>
      </w:r>
      <w:proofErr w:type="spellEnd"/>
      <w:r w:rsidRPr="00504456">
        <w:rPr>
          <w:rFonts w:ascii="Arial" w:hAnsi="Arial" w:cs="Arial"/>
        </w:rPr>
        <w:t xml:space="preserve"> and Victoria</w:t>
      </w:r>
    </w:p>
    <w:p w:rsidR="00A14868" w:rsidRPr="00504456" w:rsidRDefault="00A14868" w:rsidP="00A14868">
      <w:pPr>
        <w:numPr>
          <w:ilvl w:val="0"/>
          <w:numId w:val="19"/>
        </w:numPr>
        <w:rPr>
          <w:rFonts w:ascii="Arial" w:hAnsi="Arial" w:cs="Arial"/>
        </w:rPr>
      </w:pPr>
      <w:r w:rsidRPr="00504456">
        <w:rPr>
          <w:rFonts w:ascii="Arial" w:hAnsi="Arial" w:cs="Arial"/>
        </w:rPr>
        <w:t xml:space="preserve">a literature review of research relating to problem gambling </w:t>
      </w:r>
    </w:p>
    <w:p w:rsidR="00A14868" w:rsidRPr="00504456" w:rsidRDefault="00A14868" w:rsidP="00A14868">
      <w:pPr>
        <w:numPr>
          <w:ilvl w:val="0"/>
          <w:numId w:val="19"/>
        </w:numPr>
        <w:rPr>
          <w:rFonts w:ascii="Arial" w:hAnsi="Arial" w:cs="Arial"/>
        </w:rPr>
      </w:pPr>
      <w:r w:rsidRPr="00504456">
        <w:rPr>
          <w:rFonts w:ascii="Arial" w:hAnsi="Arial" w:cs="Arial"/>
        </w:rPr>
        <w:t>discussions with relevant Council departments</w:t>
      </w:r>
    </w:p>
    <w:p w:rsidR="00263DF7" w:rsidRPr="00504456" w:rsidRDefault="00A14868" w:rsidP="00263DF7">
      <w:pPr>
        <w:numPr>
          <w:ilvl w:val="0"/>
          <w:numId w:val="19"/>
        </w:numPr>
        <w:rPr>
          <w:rFonts w:ascii="Arial" w:hAnsi="Arial" w:cs="Arial"/>
        </w:rPr>
      </w:pPr>
      <w:r w:rsidRPr="00504456">
        <w:rPr>
          <w:rFonts w:ascii="Arial" w:hAnsi="Arial" w:cs="Arial"/>
        </w:rPr>
        <w:t>benchmarking against 12 councils</w:t>
      </w:r>
      <w:r w:rsidR="00B577EA" w:rsidRPr="00504456">
        <w:rPr>
          <w:rFonts w:ascii="Arial" w:hAnsi="Arial" w:cs="Arial"/>
        </w:rPr>
        <w:t>’</w:t>
      </w:r>
      <w:r w:rsidRPr="00504456">
        <w:rPr>
          <w:rFonts w:ascii="Arial" w:hAnsi="Arial" w:cs="Arial"/>
        </w:rPr>
        <w:t xml:space="preserve"> gambling policies or strategies: Bayside City Council, </w:t>
      </w:r>
      <w:proofErr w:type="spellStart"/>
      <w:r w:rsidRPr="00504456">
        <w:rPr>
          <w:rFonts w:ascii="Arial" w:hAnsi="Arial" w:cs="Arial"/>
        </w:rPr>
        <w:t>Darebin</w:t>
      </w:r>
      <w:proofErr w:type="spellEnd"/>
      <w:r w:rsidRPr="00504456">
        <w:rPr>
          <w:rFonts w:ascii="Arial" w:hAnsi="Arial" w:cs="Arial"/>
        </w:rPr>
        <w:t xml:space="preserve"> City Council, Frankston City Council, Macedon Ranges Shire Council, </w:t>
      </w:r>
      <w:proofErr w:type="spellStart"/>
      <w:r w:rsidRPr="00504456">
        <w:rPr>
          <w:rFonts w:ascii="Arial" w:hAnsi="Arial" w:cs="Arial"/>
        </w:rPr>
        <w:t>Maribyrnong</w:t>
      </w:r>
      <w:proofErr w:type="spellEnd"/>
      <w:r w:rsidRPr="00504456">
        <w:rPr>
          <w:rFonts w:ascii="Arial" w:hAnsi="Arial" w:cs="Arial"/>
        </w:rPr>
        <w:t xml:space="preserve"> City Council, </w:t>
      </w:r>
      <w:proofErr w:type="spellStart"/>
      <w:r w:rsidRPr="00504456">
        <w:rPr>
          <w:rFonts w:ascii="Arial" w:hAnsi="Arial" w:cs="Arial"/>
        </w:rPr>
        <w:t>Manningham</w:t>
      </w:r>
      <w:proofErr w:type="spellEnd"/>
      <w:r w:rsidRPr="00504456">
        <w:rPr>
          <w:rFonts w:ascii="Arial" w:hAnsi="Arial" w:cs="Arial"/>
        </w:rPr>
        <w:t xml:space="preserve"> City Council, </w:t>
      </w:r>
      <w:proofErr w:type="spellStart"/>
      <w:r w:rsidRPr="00504456">
        <w:rPr>
          <w:rFonts w:ascii="Arial" w:hAnsi="Arial" w:cs="Arial"/>
        </w:rPr>
        <w:t>Monash</w:t>
      </w:r>
      <w:proofErr w:type="spellEnd"/>
      <w:r w:rsidRPr="00504456">
        <w:rPr>
          <w:rFonts w:ascii="Arial" w:hAnsi="Arial" w:cs="Arial"/>
        </w:rPr>
        <w:t xml:space="preserve"> City Council, Moreland City Council, City of Port Phillip, City of Whitehorse, Wyndham Cit</w:t>
      </w:r>
      <w:r w:rsidR="009A79FE" w:rsidRPr="00504456">
        <w:rPr>
          <w:rFonts w:ascii="Arial" w:hAnsi="Arial" w:cs="Arial"/>
        </w:rPr>
        <w:t xml:space="preserve">y Council and the City of </w:t>
      </w:r>
      <w:proofErr w:type="spellStart"/>
      <w:r w:rsidR="009A79FE" w:rsidRPr="00504456">
        <w:rPr>
          <w:rFonts w:ascii="Arial" w:hAnsi="Arial" w:cs="Arial"/>
        </w:rPr>
        <w:t>Yarra</w:t>
      </w:r>
      <w:proofErr w:type="spellEnd"/>
    </w:p>
    <w:p w:rsidR="00263DF7" w:rsidRPr="00504456" w:rsidRDefault="00263DF7" w:rsidP="00263DF7">
      <w:pPr>
        <w:numPr>
          <w:ilvl w:val="0"/>
          <w:numId w:val="19"/>
        </w:numPr>
        <w:rPr>
          <w:rFonts w:ascii="Arial" w:hAnsi="Arial" w:cs="Arial"/>
        </w:rPr>
      </w:pPr>
      <w:r w:rsidRPr="00504456">
        <w:rPr>
          <w:rFonts w:ascii="Arial" w:hAnsi="Arial" w:cs="Arial"/>
        </w:rPr>
        <w:t>On 23 September 2013</w:t>
      </w:r>
      <w:r w:rsidR="009A79FE" w:rsidRPr="00504456">
        <w:rPr>
          <w:rFonts w:ascii="Arial" w:hAnsi="Arial" w:cs="Arial"/>
        </w:rPr>
        <w:t>,</w:t>
      </w:r>
      <w:r w:rsidRPr="00504456">
        <w:rPr>
          <w:rFonts w:ascii="Arial" w:hAnsi="Arial" w:cs="Arial"/>
        </w:rPr>
        <w:t xml:space="preserve"> the draft policy was endorsed by Council for public exhibition. This stage of consultation ran from 30 September to 30 October 2013 and provided online, email, in-person and written opportunities for members of the public, community support </w:t>
      </w:r>
      <w:proofErr w:type="spellStart"/>
      <w:r w:rsidRPr="00504456">
        <w:rPr>
          <w:rFonts w:ascii="Arial" w:hAnsi="Arial" w:cs="Arial"/>
        </w:rPr>
        <w:t>organisations</w:t>
      </w:r>
      <w:proofErr w:type="spellEnd"/>
      <w:r w:rsidRPr="00504456">
        <w:rPr>
          <w:rFonts w:ascii="Arial" w:hAnsi="Arial" w:cs="Arial"/>
        </w:rPr>
        <w:t xml:space="preserve"> and venue operators to comment. </w:t>
      </w:r>
      <w:r w:rsidR="00E43565" w:rsidRPr="00504456">
        <w:rPr>
          <w:rFonts w:ascii="Arial" w:hAnsi="Arial" w:cs="Arial"/>
        </w:rPr>
        <w:t xml:space="preserve"> This feedback has been considered and included in this policy. </w:t>
      </w:r>
    </w:p>
    <w:p w:rsidR="00A14868" w:rsidRPr="00504456" w:rsidRDefault="00A14868" w:rsidP="00A14868">
      <w:pPr>
        <w:ind w:left="720"/>
        <w:rPr>
          <w:rFonts w:ascii="Arial" w:hAnsi="Arial" w:cs="Arial"/>
        </w:rPr>
      </w:pPr>
    </w:p>
    <w:p w:rsidR="00A14868" w:rsidRPr="00504456" w:rsidRDefault="00A14868" w:rsidP="00A14868">
      <w:pPr>
        <w:pStyle w:val="Heading2"/>
        <w:spacing w:before="0" w:after="0"/>
      </w:pPr>
      <w:bookmarkStart w:id="121" w:name="_Toc372787032"/>
      <w:r w:rsidRPr="00504456">
        <w:t>Research findings</w:t>
      </w:r>
      <w:bookmarkEnd w:id="121"/>
    </w:p>
    <w:p w:rsidR="00A14868" w:rsidRPr="00504456" w:rsidRDefault="00A14868" w:rsidP="00A14868">
      <w:pPr>
        <w:rPr>
          <w:rFonts w:ascii="Arial" w:hAnsi="Arial" w:cs="Arial"/>
        </w:rPr>
      </w:pPr>
      <w:r w:rsidRPr="00504456">
        <w:rPr>
          <w:rFonts w:ascii="Arial" w:hAnsi="Arial" w:cs="Arial"/>
        </w:rPr>
        <w:t xml:space="preserve">Research has found that although gambling provides benefits to the community, there are also a number of harms associated with </w:t>
      </w:r>
      <w:proofErr w:type="spellStart"/>
      <w:r w:rsidRPr="00504456">
        <w:rPr>
          <w:rFonts w:ascii="Arial" w:hAnsi="Arial" w:cs="Arial"/>
        </w:rPr>
        <w:t>EGM</w:t>
      </w:r>
      <w:proofErr w:type="spellEnd"/>
      <w:r w:rsidRPr="00504456">
        <w:rPr>
          <w:rFonts w:ascii="Arial" w:hAnsi="Arial" w:cs="Arial"/>
        </w:rPr>
        <w:t xml:space="preserve"> gambling. These include:</w:t>
      </w:r>
    </w:p>
    <w:p w:rsidR="00A14868" w:rsidRPr="00504456" w:rsidRDefault="00A14868" w:rsidP="00036CC5">
      <w:pPr>
        <w:numPr>
          <w:ilvl w:val="0"/>
          <w:numId w:val="32"/>
        </w:numPr>
        <w:rPr>
          <w:rFonts w:ascii="Arial" w:hAnsi="Arial" w:cs="Arial"/>
        </w:rPr>
      </w:pPr>
      <w:r w:rsidRPr="00504456">
        <w:rPr>
          <w:rFonts w:ascii="Arial" w:hAnsi="Arial" w:cs="Arial"/>
        </w:rPr>
        <w:t xml:space="preserve">poorer mental health, </w:t>
      </w:r>
      <w:r w:rsidR="00A756B1" w:rsidRPr="00504456">
        <w:rPr>
          <w:rFonts w:ascii="Arial" w:hAnsi="Arial" w:cs="Arial"/>
        </w:rPr>
        <w:t xml:space="preserve">physical health, </w:t>
      </w:r>
      <w:r w:rsidRPr="00504456">
        <w:rPr>
          <w:rFonts w:ascii="Arial" w:hAnsi="Arial" w:cs="Arial"/>
        </w:rPr>
        <w:t>relationship</w:t>
      </w:r>
      <w:r w:rsidR="00A756B1" w:rsidRPr="00504456">
        <w:rPr>
          <w:rFonts w:ascii="Arial" w:hAnsi="Arial" w:cs="Arial"/>
        </w:rPr>
        <w:t>s</w:t>
      </w:r>
      <w:r w:rsidRPr="00504456">
        <w:rPr>
          <w:rFonts w:ascii="Arial" w:hAnsi="Arial" w:cs="Arial"/>
        </w:rPr>
        <w:t>, feelings about self, quality of life,</w:t>
      </w:r>
      <w:r w:rsidR="00E77536" w:rsidRPr="00504456">
        <w:rPr>
          <w:rFonts w:ascii="Arial" w:hAnsi="Arial" w:cs="Arial"/>
        </w:rPr>
        <w:t xml:space="preserve"> </w:t>
      </w:r>
      <w:r w:rsidRPr="00504456">
        <w:rPr>
          <w:rFonts w:ascii="Arial" w:hAnsi="Arial" w:cs="Arial"/>
        </w:rPr>
        <w:t>satisfaction with life,</w:t>
      </w:r>
      <w:r w:rsidR="00E77536" w:rsidRPr="00504456">
        <w:rPr>
          <w:rFonts w:ascii="Arial" w:hAnsi="Arial" w:cs="Arial"/>
        </w:rPr>
        <w:t xml:space="preserve"> </w:t>
      </w:r>
      <w:r w:rsidRPr="00504456">
        <w:rPr>
          <w:rFonts w:ascii="Arial" w:hAnsi="Arial" w:cs="Arial"/>
        </w:rPr>
        <w:t>living standards and study performance</w:t>
      </w:r>
      <w:r w:rsidR="00E77536" w:rsidRPr="00504456">
        <w:rPr>
          <w:rFonts w:ascii="Arial" w:hAnsi="Arial" w:cs="Arial"/>
        </w:rPr>
        <w:t xml:space="preserve"> </w:t>
      </w:r>
    </w:p>
    <w:p w:rsidR="00A14868" w:rsidRPr="00504456" w:rsidRDefault="00A14868" w:rsidP="00036CC5">
      <w:pPr>
        <w:numPr>
          <w:ilvl w:val="0"/>
          <w:numId w:val="32"/>
        </w:numPr>
        <w:rPr>
          <w:rFonts w:ascii="Arial" w:hAnsi="Arial" w:cs="Arial"/>
        </w:rPr>
      </w:pPr>
      <w:r w:rsidRPr="00504456">
        <w:rPr>
          <w:rFonts w:ascii="Arial" w:hAnsi="Arial" w:cs="Arial"/>
        </w:rPr>
        <w:t xml:space="preserve">negative health impacts on the individual and the family of people with gambling problems </w:t>
      </w:r>
    </w:p>
    <w:p w:rsidR="00A14868" w:rsidRPr="00504456" w:rsidRDefault="00A14868" w:rsidP="00036CC5">
      <w:pPr>
        <w:numPr>
          <w:ilvl w:val="0"/>
          <w:numId w:val="32"/>
        </w:numPr>
        <w:rPr>
          <w:rFonts w:ascii="Arial" w:hAnsi="Arial" w:cs="Arial"/>
        </w:rPr>
      </w:pPr>
      <w:r w:rsidRPr="00504456">
        <w:rPr>
          <w:rFonts w:ascii="Arial" w:hAnsi="Arial" w:cs="Arial"/>
        </w:rPr>
        <w:t>financial impacts</w:t>
      </w:r>
    </w:p>
    <w:p w:rsidR="00A14868" w:rsidRPr="00504456" w:rsidRDefault="00A14868" w:rsidP="00036CC5">
      <w:pPr>
        <w:numPr>
          <w:ilvl w:val="0"/>
          <w:numId w:val="32"/>
        </w:numPr>
        <w:rPr>
          <w:rFonts w:ascii="Arial" w:hAnsi="Arial" w:cs="Arial"/>
        </w:rPr>
      </w:pPr>
      <w:r w:rsidRPr="00504456">
        <w:rPr>
          <w:rFonts w:ascii="Arial" w:hAnsi="Arial" w:cs="Arial"/>
        </w:rPr>
        <w:t>relationship breakdowns and links to family violence</w:t>
      </w:r>
    </w:p>
    <w:p w:rsidR="00A14868" w:rsidRPr="00504456" w:rsidRDefault="00A14868" w:rsidP="00036CC5">
      <w:pPr>
        <w:numPr>
          <w:ilvl w:val="0"/>
          <w:numId w:val="32"/>
        </w:numPr>
        <w:rPr>
          <w:rFonts w:ascii="Arial" w:hAnsi="Arial" w:cs="Arial"/>
        </w:rPr>
      </w:pPr>
      <w:proofErr w:type="gramStart"/>
      <w:r w:rsidRPr="00504456">
        <w:rPr>
          <w:rFonts w:ascii="Arial" w:hAnsi="Arial" w:cs="Arial"/>
        </w:rPr>
        <w:t>crime</w:t>
      </w:r>
      <w:proofErr w:type="gramEnd"/>
      <w:r w:rsidRPr="00504456">
        <w:rPr>
          <w:rFonts w:ascii="Arial" w:hAnsi="Arial" w:cs="Arial"/>
        </w:rPr>
        <w:t xml:space="preserve"> and workplace fraud.</w:t>
      </w:r>
      <w:r w:rsidRPr="00504456">
        <w:rPr>
          <w:rStyle w:val="FootnoteReference"/>
          <w:rFonts w:ascii="Arial" w:hAnsi="Arial" w:cs="Arial"/>
        </w:rPr>
        <w:footnoteReference w:id="42"/>
      </w:r>
    </w:p>
    <w:p w:rsidR="00A14868" w:rsidRPr="00504456" w:rsidRDefault="00A14868" w:rsidP="00A14868">
      <w:pPr>
        <w:ind w:left="720"/>
        <w:rPr>
          <w:rFonts w:ascii="Arial" w:hAnsi="Arial" w:cs="Arial"/>
        </w:rPr>
      </w:pPr>
    </w:p>
    <w:p w:rsidR="00A14868" w:rsidRPr="00504456" w:rsidRDefault="00677204" w:rsidP="00A14868">
      <w:pPr>
        <w:rPr>
          <w:rFonts w:ascii="Arial" w:hAnsi="Arial" w:cs="Arial"/>
        </w:rPr>
      </w:pPr>
      <w:r w:rsidRPr="00504456">
        <w:rPr>
          <w:rFonts w:ascii="Arial" w:hAnsi="Arial" w:cs="Arial"/>
        </w:rPr>
        <w:t xml:space="preserve">According to </w:t>
      </w:r>
      <w:r w:rsidR="009161A2" w:rsidRPr="00504456">
        <w:rPr>
          <w:rFonts w:ascii="Arial" w:hAnsi="Arial" w:cs="Arial"/>
        </w:rPr>
        <w:t>the Productivity Commission's 1999 report into Australia's gambling industries, t</w:t>
      </w:r>
      <w:r w:rsidR="00A14868" w:rsidRPr="00504456">
        <w:rPr>
          <w:rFonts w:ascii="Arial" w:hAnsi="Arial" w:cs="Arial"/>
        </w:rPr>
        <w:t>he</w:t>
      </w:r>
      <w:r w:rsidR="00786BBF" w:rsidRPr="00504456">
        <w:rPr>
          <w:rFonts w:ascii="Arial" w:hAnsi="Arial" w:cs="Arial"/>
        </w:rPr>
        <w:t xml:space="preserve"> actions</w:t>
      </w:r>
      <w:r w:rsidR="00A14868" w:rsidRPr="00504456">
        <w:rPr>
          <w:rFonts w:ascii="Arial" w:hAnsi="Arial" w:cs="Arial"/>
        </w:rPr>
        <w:t xml:space="preserve"> of one problem gambler negatively impact the lives of between five and 10 other people. This includes family, friends and colleagues of problem gamblers.</w:t>
      </w:r>
      <w:r w:rsidR="00A14868" w:rsidRPr="00504456">
        <w:rPr>
          <w:rStyle w:val="FootnoteReference"/>
          <w:rFonts w:ascii="Arial" w:hAnsi="Arial" w:cs="Arial"/>
        </w:rPr>
        <w:footnoteReference w:id="43"/>
      </w:r>
    </w:p>
    <w:p w:rsidR="00C17309" w:rsidRPr="00504456" w:rsidRDefault="00C17309"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Although there is no distinct profile of people with gambling problems, the following populations have been </w:t>
      </w:r>
      <w:r w:rsidR="009764B1" w:rsidRPr="00504456">
        <w:rPr>
          <w:rFonts w:ascii="Arial" w:hAnsi="Arial" w:cs="Arial"/>
        </w:rPr>
        <w:t xml:space="preserve">identified by the Victorian Government </w:t>
      </w:r>
      <w:r w:rsidR="00680799" w:rsidRPr="00504456">
        <w:rPr>
          <w:rFonts w:ascii="Arial" w:hAnsi="Arial" w:cs="Arial"/>
        </w:rPr>
        <w:t>as</w:t>
      </w:r>
      <w:r w:rsidR="00D273C4" w:rsidRPr="00504456">
        <w:rPr>
          <w:rFonts w:ascii="Arial" w:hAnsi="Arial" w:cs="Arial"/>
        </w:rPr>
        <w:t xml:space="preserve"> </w:t>
      </w:r>
      <w:r w:rsidRPr="00504456">
        <w:rPr>
          <w:rFonts w:ascii="Arial" w:hAnsi="Arial" w:cs="Arial"/>
        </w:rPr>
        <w:t xml:space="preserve">potentially vulnerable </w:t>
      </w:r>
      <w:r w:rsidR="009764B1" w:rsidRPr="00504456">
        <w:rPr>
          <w:rFonts w:ascii="Arial" w:hAnsi="Arial" w:cs="Arial"/>
        </w:rPr>
        <w:t>based on the research findings</w:t>
      </w:r>
      <w:r w:rsidRPr="00504456">
        <w:rPr>
          <w:rFonts w:ascii="Arial" w:hAnsi="Arial" w:cs="Arial"/>
        </w:rPr>
        <w:t>:</w:t>
      </w:r>
    </w:p>
    <w:p w:rsidR="00A14868" w:rsidRPr="00504456" w:rsidRDefault="00A14868" w:rsidP="00036CC5">
      <w:pPr>
        <w:numPr>
          <w:ilvl w:val="0"/>
          <w:numId w:val="30"/>
        </w:numPr>
        <w:rPr>
          <w:rFonts w:ascii="Arial" w:hAnsi="Arial" w:cs="Arial"/>
        </w:rPr>
      </w:pPr>
      <w:r w:rsidRPr="00504456">
        <w:rPr>
          <w:rFonts w:ascii="Arial" w:hAnsi="Arial" w:cs="Arial"/>
        </w:rPr>
        <w:t>young people, and in particular young males</w:t>
      </w:r>
    </w:p>
    <w:p w:rsidR="00A14868" w:rsidRPr="00504456" w:rsidRDefault="00A14868" w:rsidP="00036CC5">
      <w:pPr>
        <w:numPr>
          <w:ilvl w:val="0"/>
          <w:numId w:val="30"/>
        </w:numPr>
        <w:rPr>
          <w:rFonts w:ascii="Arial" w:hAnsi="Arial" w:cs="Arial"/>
        </w:rPr>
      </w:pPr>
      <w:r w:rsidRPr="00504456">
        <w:rPr>
          <w:rFonts w:ascii="Arial" w:hAnsi="Arial" w:cs="Arial"/>
        </w:rPr>
        <w:t>people experiencing substance use issues</w:t>
      </w:r>
    </w:p>
    <w:p w:rsidR="00A14868" w:rsidRPr="00504456" w:rsidRDefault="00A14868" w:rsidP="00036CC5">
      <w:pPr>
        <w:numPr>
          <w:ilvl w:val="0"/>
          <w:numId w:val="30"/>
        </w:numPr>
        <w:rPr>
          <w:rFonts w:ascii="Arial" w:hAnsi="Arial" w:cs="Arial"/>
        </w:rPr>
      </w:pPr>
      <w:r w:rsidRPr="00504456">
        <w:rPr>
          <w:rFonts w:ascii="Arial" w:hAnsi="Arial" w:cs="Arial"/>
        </w:rPr>
        <w:t>people with mental health issues</w:t>
      </w:r>
    </w:p>
    <w:p w:rsidR="00A14868" w:rsidRPr="00504456" w:rsidRDefault="00A14868" w:rsidP="00036CC5">
      <w:pPr>
        <w:numPr>
          <w:ilvl w:val="0"/>
          <w:numId w:val="30"/>
        </w:numPr>
        <w:rPr>
          <w:rFonts w:ascii="Arial" w:hAnsi="Arial" w:cs="Arial"/>
        </w:rPr>
      </w:pPr>
      <w:r w:rsidRPr="00504456">
        <w:rPr>
          <w:rFonts w:ascii="Arial" w:hAnsi="Arial" w:cs="Arial"/>
        </w:rPr>
        <w:lastRenderedPageBreak/>
        <w:t>people of culturally and linguistically diverse (</w:t>
      </w:r>
      <w:proofErr w:type="spellStart"/>
      <w:r w:rsidRPr="00504456">
        <w:rPr>
          <w:rFonts w:ascii="Arial" w:hAnsi="Arial" w:cs="Arial"/>
        </w:rPr>
        <w:t>CALD</w:t>
      </w:r>
      <w:proofErr w:type="spellEnd"/>
      <w:r w:rsidRPr="00504456">
        <w:rPr>
          <w:rFonts w:ascii="Arial" w:hAnsi="Arial" w:cs="Arial"/>
        </w:rPr>
        <w:t>) backgrounds</w:t>
      </w:r>
    </w:p>
    <w:p w:rsidR="00A14868" w:rsidRPr="00504456" w:rsidRDefault="00A14868" w:rsidP="00036CC5">
      <w:pPr>
        <w:numPr>
          <w:ilvl w:val="0"/>
          <w:numId w:val="30"/>
        </w:numPr>
        <w:rPr>
          <w:rFonts w:ascii="Arial" w:hAnsi="Arial" w:cs="Arial"/>
        </w:rPr>
      </w:pPr>
      <w:r w:rsidRPr="00504456">
        <w:rPr>
          <w:rFonts w:ascii="Arial" w:hAnsi="Arial" w:cs="Arial"/>
        </w:rPr>
        <w:t>people of Indigenous backgrounds</w:t>
      </w:r>
    </w:p>
    <w:p w:rsidR="00723406" w:rsidRPr="00504456" w:rsidRDefault="00A14868" w:rsidP="00036CC5">
      <w:pPr>
        <w:numPr>
          <w:ilvl w:val="0"/>
          <w:numId w:val="30"/>
        </w:numPr>
        <w:rPr>
          <w:rFonts w:ascii="Arial" w:hAnsi="Arial" w:cs="Arial"/>
        </w:rPr>
      </w:pPr>
      <w:r w:rsidRPr="00504456">
        <w:rPr>
          <w:rFonts w:ascii="Arial" w:hAnsi="Arial" w:cs="Arial"/>
        </w:rPr>
        <w:t>families and friends of people with a gambling problem</w:t>
      </w:r>
    </w:p>
    <w:p w:rsidR="00723406" w:rsidRPr="00504456" w:rsidRDefault="009161A2" w:rsidP="00036CC5">
      <w:pPr>
        <w:numPr>
          <w:ilvl w:val="0"/>
          <w:numId w:val="30"/>
        </w:numPr>
        <w:rPr>
          <w:rFonts w:ascii="Arial" w:hAnsi="Arial" w:cs="Arial"/>
        </w:rPr>
      </w:pPr>
      <w:r w:rsidRPr="00504456">
        <w:rPr>
          <w:rFonts w:ascii="Arial" w:hAnsi="Arial" w:cs="Arial"/>
        </w:rPr>
        <w:t>senior Victorians</w:t>
      </w:r>
    </w:p>
    <w:p w:rsidR="00A14868" w:rsidRPr="00504456" w:rsidRDefault="00B356BD" w:rsidP="00036CC5">
      <w:pPr>
        <w:numPr>
          <w:ilvl w:val="0"/>
          <w:numId w:val="30"/>
        </w:numPr>
        <w:rPr>
          <w:rFonts w:ascii="Arial" w:hAnsi="Arial" w:cs="Arial"/>
        </w:rPr>
      </w:pPr>
      <w:proofErr w:type="gramStart"/>
      <w:r w:rsidRPr="00504456">
        <w:rPr>
          <w:rFonts w:ascii="Arial" w:hAnsi="Arial" w:cs="Arial"/>
        </w:rPr>
        <w:t>people</w:t>
      </w:r>
      <w:proofErr w:type="gramEnd"/>
      <w:r w:rsidRPr="00504456">
        <w:rPr>
          <w:rFonts w:ascii="Arial" w:hAnsi="Arial" w:cs="Arial"/>
        </w:rPr>
        <w:t xml:space="preserve"> with </w:t>
      </w:r>
      <w:r w:rsidR="009161A2" w:rsidRPr="00504456">
        <w:rPr>
          <w:rFonts w:ascii="Arial" w:hAnsi="Arial" w:cs="Arial"/>
        </w:rPr>
        <w:t xml:space="preserve">intellectual/cognitive </w:t>
      </w:r>
      <w:r w:rsidRPr="00504456">
        <w:rPr>
          <w:rFonts w:ascii="Arial" w:hAnsi="Arial" w:cs="Arial"/>
        </w:rPr>
        <w:t>disabilit</w:t>
      </w:r>
      <w:r w:rsidR="00680799" w:rsidRPr="00504456">
        <w:rPr>
          <w:rFonts w:ascii="Arial" w:hAnsi="Arial" w:cs="Arial"/>
        </w:rPr>
        <w:t>ies</w:t>
      </w:r>
      <w:r w:rsidR="00A14868" w:rsidRPr="00504456">
        <w:rPr>
          <w:rFonts w:ascii="Arial" w:hAnsi="Arial" w:cs="Arial"/>
        </w:rPr>
        <w:t>.</w:t>
      </w:r>
      <w:r w:rsidR="00A14868" w:rsidRPr="00504456">
        <w:rPr>
          <w:rStyle w:val="FootnoteReference"/>
          <w:rFonts w:ascii="Arial" w:hAnsi="Arial" w:cs="Arial"/>
        </w:rPr>
        <w:footnoteReference w:id="44"/>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The research has also identified risk factors that </w:t>
      </w:r>
      <w:r w:rsidR="002403E3" w:rsidRPr="00504456">
        <w:rPr>
          <w:rFonts w:ascii="Arial" w:hAnsi="Arial" w:cs="Arial"/>
        </w:rPr>
        <w:t xml:space="preserve">may make people more vulnerable </w:t>
      </w:r>
      <w:r w:rsidRPr="00504456">
        <w:rPr>
          <w:rFonts w:ascii="Arial" w:hAnsi="Arial" w:cs="Arial"/>
        </w:rPr>
        <w:t xml:space="preserve">to </w:t>
      </w:r>
      <w:r w:rsidR="002403E3" w:rsidRPr="00504456">
        <w:rPr>
          <w:rFonts w:ascii="Arial" w:hAnsi="Arial" w:cs="Arial"/>
        </w:rPr>
        <w:t xml:space="preserve">problem gambling </w:t>
      </w:r>
      <w:r w:rsidRPr="00504456">
        <w:rPr>
          <w:rFonts w:ascii="Arial" w:hAnsi="Arial" w:cs="Arial"/>
        </w:rPr>
        <w:t xml:space="preserve">including: </w:t>
      </w:r>
    </w:p>
    <w:p w:rsidR="00A14868" w:rsidRPr="00504456" w:rsidRDefault="00A14868" w:rsidP="00036CC5">
      <w:pPr>
        <w:numPr>
          <w:ilvl w:val="0"/>
          <w:numId w:val="31"/>
        </w:numPr>
        <w:rPr>
          <w:rFonts w:ascii="Arial" w:hAnsi="Arial" w:cs="Arial"/>
        </w:rPr>
      </w:pPr>
      <w:r w:rsidRPr="00504456">
        <w:rPr>
          <w:rFonts w:ascii="Arial" w:hAnsi="Arial" w:cs="Arial"/>
        </w:rPr>
        <w:t>people living in an area where there are few alternative recreation and social opportunities</w:t>
      </w:r>
      <w:r w:rsidRPr="00504456">
        <w:rPr>
          <w:rStyle w:val="FootnoteReference"/>
          <w:rFonts w:ascii="Arial" w:hAnsi="Arial" w:cs="Arial"/>
        </w:rPr>
        <w:footnoteReference w:id="45"/>
      </w:r>
    </w:p>
    <w:p w:rsidR="00A14868" w:rsidRPr="00504456" w:rsidRDefault="00A14868" w:rsidP="00036CC5">
      <w:pPr>
        <w:numPr>
          <w:ilvl w:val="0"/>
          <w:numId w:val="31"/>
        </w:numPr>
        <w:rPr>
          <w:rFonts w:ascii="Arial" w:hAnsi="Arial" w:cs="Arial"/>
        </w:rPr>
      </w:pPr>
      <w:r w:rsidRPr="00504456">
        <w:rPr>
          <w:rFonts w:ascii="Arial" w:hAnsi="Arial" w:cs="Arial"/>
        </w:rPr>
        <w:t>social isolation</w:t>
      </w:r>
    </w:p>
    <w:p w:rsidR="00A14868" w:rsidRPr="00504456" w:rsidRDefault="00A14868" w:rsidP="00036CC5">
      <w:pPr>
        <w:numPr>
          <w:ilvl w:val="0"/>
          <w:numId w:val="31"/>
        </w:numPr>
        <w:rPr>
          <w:rFonts w:ascii="Arial" w:hAnsi="Arial" w:cs="Arial"/>
        </w:rPr>
      </w:pPr>
      <w:r w:rsidRPr="00504456">
        <w:rPr>
          <w:rFonts w:ascii="Arial" w:hAnsi="Arial" w:cs="Arial"/>
        </w:rPr>
        <w:t>unemployment</w:t>
      </w:r>
    </w:p>
    <w:p w:rsidR="00A14868" w:rsidRPr="00504456" w:rsidRDefault="00A14868" w:rsidP="00036CC5">
      <w:pPr>
        <w:numPr>
          <w:ilvl w:val="0"/>
          <w:numId w:val="31"/>
        </w:numPr>
        <w:rPr>
          <w:rFonts w:ascii="Arial" w:hAnsi="Arial" w:cs="Arial"/>
        </w:rPr>
      </w:pPr>
      <w:r w:rsidRPr="00504456">
        <w:rPr>
          <w:rFonts w:ascii="Arial" w:hAnsi="Arial" w:cs="Arial"/>
        </w:rPr>
        <w:t>a low-medium personal income</w:t>
      </w:r>
    </w:p>
    <w:p w:rsidR="00A14868" w:rsidRPr="00504456" w:rsidRDefault="00A14868" w:rsidP="00036CC5">
      <w:pPr>
        <w:numPr>
          <w:ilvl w:val="0"/>
          <w:numId w:val="31"/>
        </w:numPr>
        <w:rPr>
          <w:rFonts w:ascii="Arial" w:hAnsi="Arial" w:cs="Arial"/>
        </w:rPr>
      </w:pPr>
      <w:r w:rsidRPr="00504456">
        <w:rPr>
          <w:rFonts w:ascii="Arial" w:hAnsi="Arial" w:cs="Arial"/>
        </w:rPr>
        <w:t>hav</w:t>
      </w:r>
      <w:r w:rsidR="000527D7" w:rsidRPr="00504456">
        <w:rPr>
          <w:rFonts w:ascii="Arial" w:hAnsi="Arial" w:cs="Arial"/>
        </w:rPr>
        <w:t>e</w:t>
      </w:r>
      <w:r w:rsidRPr="00504456">
        <w:rPr>
          <w:rFonts w:ascii="Arial" w:hAnsi="Arial" w:cs="Arial"/>
        </w:rPr>
        <w:t xml:space="preserve"> experienced a significant life event in the last year including divorce, death of someone close to them, major change to financial situation, illness or injury, legal difficulties or trouble at work.</w:t>
      </w:r>
      <w:r w:rsidRPr="00504456">
        <w:rPr>
          <w:rStyle w:val="FootnoteReference"/>
          <w:rFonts w:ascii="Arial" w:hAnsi="Arial" w:cs="Arial"/>
        </w:rPr>
        <w:t xml:space="preserve"> </w:t>
      </w:r>
      <w:r w:rsidRPr="00504456">
        <w:rPr>
          <w:rStyle w:val="FootnoteReference"/>
          <w:rFonts w:ascii="Arial" w:hAnsi="Arial" w:cs="Arial"/>
        </w:rPr>
        <w:footnoteReference w:id="46"/>
      </w:r>
    </w:p>
    <w:p w:rsidR="00A14868" w:rsidRPr="00504456" w:rsidRDefault="00A14868" w:rsidP="00A14868">
      <w:pPr>
        <w:ind w:left="720"/>
        <w:rPr>
          <w:rFonts w:ascii="Arial" w:hAnsi="Arial" w:cs="Arial"/>
        </w:rPr>
      </w:pPr>
    </w:p>
    <w:p w:rsidR="00A14868" w:rsidRPr="00504456" w:rsidRDefault="00E21D5F" w:rsidP="00A14868">
      <w:pPr>
        <w:rPr>
          <w:rFonts w:ascii="Arial" w:hAnsi="Arial" w:cs="Arial"/>
        </w:rPr>
      </w:pPr>
      <w:r w:rsidRPr="00504456">
        <w:rPr>
          <w:rFonts w:ascii="Arial" w:hAnsi="Arial" w:cs="Arial"/>
        </w:rPr>
        <w:t>Greater</w:t>
      </w:r>
      <w:r w:rsidR="00E6339F" w:rsidRPr="00504456">
        <w:rPr>
          <w:rFonts w:ascii="Arial" w:hAnsi="Arial" w:cs="Arial"/>
        </w:rPr>
        <w:t xml:space="preserve"> accessibility to</w:t>
      </w:r>
      <w:r w:rsidR="00A14868" w:rsidRPr="00504456">
        <w:rPr>
          <w:rFonts w:ascii="Arial" w:hAnsi="Arial" w:cs="Arial"/>
        </w:rPr>
        <w:t xml:space="preserve"> </w:t>
      </w:r>
      <w:proofErr w:type="spellStart"/>
      <w:r w:rsidR="00A14868" w:rsidRPr="00504456">
        <w:rPr>
          <w:rFonts w:ascii="Arial" w:hAnsi="Arial" w:cs="Arial"/>
        </w:rPr>
        <w:t>EGMs</w:t>
      </w:r>
      <w:proofErr w:type="spellEnd"/>
      <w:r w:rsidR="00A14868" w:rsidRPr="00504456">
        <w:rPr>
          <w:rFonts w:ascii="Arial" w:hAnsi="Arial" w:cs="Arial"/>
        </w:rPr>
        <w:t xml:space="preserve"> has also been found to </w:t>
      </w:r>
      <w:r w:rsidRPr="00504456">
        <w:rPr>
          <w:rFonts w:ascii="Arial" w:hAnsi="Arial" w:cs="Arial"/>
        </w:rPr>
        <w:t>be associated with higher</w:t>
      </w:r>
      <w:r w:rsidR="00F07AED" w:rsidRPr="00504456">
        <w:rPr>
          <w:rFonts w:ascii="Arial" w:hAnsi="Arial" w:cs="Arial"/>
        </w:rPr>
        <w:t xml:space="preserve"> rates of </w:t>
      </w:r>
      <w:r w:rsidR="00A14868" w:rsidRPr="00504456">
        <w:rPr>
          <w:rFonts w:ascii="Arial" w:hAnsi="Arial" w:cs="Arial"/>
        </w:rPr>
        <w:t xml:space="preserve">problem gambling and that </w:t>
      </w:r>
      <w:r w:rsidR="008E6E6E" w:rsidRPr="00504456">
        <w:rPr>
          <w:rFonts w:ascii="Arial" w:hAnsi="Arial" w:cs="Arial"/>
        </w:rPr>
        <w:t xml:space="preserve">people living in </w:t>
      </w:r>
      <w:r w:rsidR="00A14868" w:rsidRPr="00504456">
        <w:rPr>
          <w:rFonts w:ascii="Arial" w:hAnsi="Arial" w:cs="Arial"/>
        </w:rPr>
        <w:t xml:space="preserve">areas of social disadvantage are more vulnerable to problem gambling. To avoid people making spontaneous decisions to gamble, it has also been shown that </w:t>
      </w:r>
      <w:proofErr w:type="spellStart"/>
      <w:r w:rsidR="00A14868" w:rsidRPr="00504456">
        <w:rPr>
          <w:rFonts w:ascii="Arial" w:hAnsi="Arial" w:cs="Arial"/>
        </w:rPr>
        <w:t>EGMs</w:t>
      </w:r>
      <w:proofErr w:type="spellEnd"/>
      <w:r w:rsidR="00A14868" w:rsidRPr="00504456">
        <w:rPr>
          <w:rFonts w:ascii="Arial" w:hAnsi="Arial" w:cs="Arial"/>
        </w:rPr>
        <w:t xml:space="preserve"> should not be placed where people go about their everyday business, such as strip shopping </w:t>
      </w:r>
      <w:proofErr w:type="spellStart"/>
      <w:r w:rsidR="00A14868" w:rsidRPr="00504456">
        <w:rPr>
          <w:rFonts w:ascii="Arial" w:hAnsi="Arial" w:cs="Arial"/>
        </w:rPr>
        <w:t>centres</w:t>
      </w:r>
      <w:proofErr w:type="spellEnd"/>
      <w:r w:rsidR="00A14868" w:rsidRPr="00504456">
        <w:rPr>
          <w:rFonts w:ascii="Arial" w:hAnsi="Arial" w:cs="Arial"/>
        </w:rPr>
        <w:t>.</w:t>
      </w:r>
      <w:r w:rsidR="00A14868" w:rsidRPr="00504456">
        <w:rPr>
          <w:rStyle w:val="FootnoteReference"/>
          <w:rFonts w:ascii="Arial" w:hAnsi="Arial" w:cs="Arial"/>
        </w:rPr>
        <w:footnoteReference w:id="47"/>
      </w:r>
      <w:r w:rsidR="00A14868" w:rsidRPr="00504456">
        <w:rPr>
          <w:rFonts w:ascii="Arial" w:hAnsi="Arial" w:cs="Arial"/>
        </w:rPr>
        <w:t xml:space="preserve"> </w:t>
      </w:r>
    </w:p>
    <w:p w:rsidR="00A14868" w:rsidRPr="00504456" w:rsidRDefault="00A14868" w:rsidP="00A14868">
      <w:pPr>
        <w:rPr>
          <w:rFonts w:ascii="Arial" w:hAnsi="Arial" w:cs="Arial"/>
        </w:rPr>
      </w:pPr>
    </w:p>
    <w:p w:rsidR="00A14868" w:rsidRPr="00504456" w:rsidRDefault="00A14868" w:rsidP="00A14868">
      <w:pPr>
        <w:pStyle w:val="Heading2"/>
        <w:spacing w:before="0" w:after="0"/>
      </w:pPr>
      <w:bookmarkStart w:id="122" w:name="_Toc372787033"/>
      <w:r w:rsidRPr="00504456">
        <w:t>Consultation</w:t>
      </w:r>
      <w:bookmarkEnd w:id="122"/>
      <w:r w:rsidRPr="00504456">
        <w:t xml:space="preserve"> </w:t>
      </w:r>
    </w:p>
    <w:p w:rsidR="00A14868" w:rsidRPr="00504456" w:rsidRDefault="00A14868" w:rsidP="00A14868">
      <w:pPr>
        <w:rPr>
          <w:rFonts w:ascii="Arial" w:hAnsi="Arial" w:cs="Arial"/>
        </w:rPr>
      </w:pPr>
      <w:r w:rsidRPr="00504456">
        <w:rPr>
          <w:rFonts w:ascii="Arial" w:hAnsi="Arial" w:cs="Arial"/>
        </w:rPr>
        <w:t>Council undertook the following consultation for the development of this policy:</w:t>
      </w:r>
    </w:p>
    <w:p w:rsidR="00A14868" w:rsidRPr="00504456" w:rsidRDefault="00A14868" w:rsidP="00A14868">
      <w:pPr>
        <w:numPr>
          <w:ilvl w:val="0"/>
          <w:numId w:val="19"/>
        </w:numPr>
        <w:rPr>
          <w:rFonts w:ascii="Arial" w:hAnsi="Arial" w:cs="Arial"/>
        </w:rPr>
      </w:pPr>
      <w:r w:rsidRPr="00504456">
        <w:rPr>
          <w:rFonts w:ascii="Arial" w:hAnsi="Arial" w:cs="Arial"/>
        </w:rPr>
        <w:t xml:space="preserve">consultation with 1,000 Boroondara residents in December 2012 via the telephone survey for the development of the draft </w:t>
      </w:r>
      <w:proofErr w:type="spellStart"/>
      <w:r w:rsidRPr="00504456">
        <w:rPr>
          <w:rFonts w:ascii="Arial" w:hAnsi="Arial" w:cs="Arial"/>
        </w:rPr>
        <w:t>BPHWP</w:t>
      </w:r>
      <w:proofErr w:type="spellEnd"/>
      <w:r w:rsidRPr="00504456">
        <w:rPr>
          <w:rFonts w:ascii="Arial" w:hAnsi="Arial" w:cs="Arial"/>
        </w:rPr>
        <w:t xml:space="preserve"> 2013-17</w:t>
      </w:r>
    </w:p>
    <w:p w:rsidR="00A14868" w:rsidRPr="00504456" w:rsidRDefault="00A14868" w:rsidP="00A14868">
      <w:pPr>
        <w:numPr>
          <w:ilvl w:val="0"/>
          <w:numId w:val="19"/>
        </w:numPr>
        <w:rPr>
          <w:rFonts w:ascii="Arial" w:hAnsi="Arial" w:cs="Arial"/>
        </w:rPr>
      </w:pPr>
      <w:proofErr w:type="gramStart"/>
      <w:r w:rsidRPr="00504456">
        <w:rPr>
          <w:rFonts w:ascii="Arial" w:hAnsi="Arial" w:cs="Arial"/>
        </w:rPr>
        <w:t>consultation</w:t>
      </w:r>
      <w:proofErr w:type="gramEnd"/>
      <w:r w:rsidRPr="00504456">
        <w:rPr>
          <w:rFonts w:ascii="Arial" w:hAnsi="Arial" w:cs="Arial"/>
        </w:rPr>
        <w:t xml:space="preserve"> with Gambler’s Help Eastern (</w:t>
      </w:r>
      <w:proofErr w:type="spellStart"/>
      <w:r w:rsidRPr="00504456">
        <w:rPr>
          <w:rFonts w:ascii="Arial" w:hAnsi="Arial" w:cs="Arial"/>
        </w:rPr>
        <w:t>GHE</w:t>
      </w:r>
      <w:proofErr w:type="spellEnd"/>
      <w:r w:rsidRPr="00504456">
        <w:rPr>
          <w:rFonts w:ascii="Arial" w:hAnsi="Arial" w:cs="Arial"/>
        </w:rPr>
        <w:t xml:space="preserve">), which provides services in the </w:t>
      </w:r>
      <w:proofErr w:type="spellStart"/>
      <w:r w:rsidRPr="00504456">
        <w:rPr>
          <w:rFonts w:ascii="Arial" w:hAnsi="Arial" w:cs="Arial"/>
        </w:rPr>
        <w:t>EMR</w:t>
      </w:r>
      <w:proofErr w:type="spellEnd"/>
      <w:r w:rsidRPr="00504456">
        <w:rPr>
          <w:rFonts w:ascii="Arial" w:hAnsi="Arial" w:cs="Arial"/>
        </w:rPr>
        <w:t>.</w:t>
      </w:r>
    </w:p>
    <w:p w:rsidR="00855212" w:rsidRPr="00504456" w:rsidRDefault="00855212" w:rsidP="00855212">
      <w:pPr>
        <w:rPr>
          <w:rFonts w:ascii="Arial" w:hAnsi="Arial" w:cs="Arial"/>
          <w:bCs/>
          <w:lang w:val="en-AU"/>
        </w:rPr>
      </w:pPr>
    </w:p>
    <w:p w:rsidR="00855212" w:rsidRPr="00504456" w:rsidRDefault="00855212" w:rsidP="00855212">
      <w:pPr>
        <w:rPr>
          <w:rFonts w:ascii="Arial" w:hAnsi="Arial" w:cs="Arial"/>
          <w:bCs/>
          <w:lang w:val="en-AU"/>
        </w:rPr>
      </w:pPr>
      <w:r w:rsidRPr="00504456">
        <w:rPr>
          <w:rFonts w:ascii="Arial" w:hAnsi="Arial" w:cs="Arial"/>
          <w:bCs/>
          <w:lang w:val="en-AU"/>
        </w:rPr>
        <w:t>The draft policy was open for public exhibition from 30 September to 30 October 2013. This i</w:t>
      </w:r>
      <w:r w:rsidR="008024FE" w:rsidRPr="00504456">
        <w:rPr>
          <w:rFonts w:ascii="Arial" w:hAnsi="Arial" w:cs="Arial"/>
          <w:bCs/>
          <w:lang w:val="en-AU"/>
        </w:rPr>
        <w:t>ncluded promotion of the draft p</w:t>
      </w:r>
      <w:r w:rsidRPr="00504456">
        <w:rPr>
          <w:rFonts w:ascii="Arial" w:hAnsi="Arial" w:cs="Arial"/>
          <w:bCs/>
          <w:lang w:val="en-AU"/>
        </w:rPr>
        <w:t xml:space="preserve">olicy and </w:t>
      </w:r>
      <w:r w:rsidR="00416B82" w:rsidRPr="00504456">
        <w:rPr>
          <w:rFonts w:ascii="Arial" w:hAnsi="Arial" w:cs="Arial"/>
          <w:bCs/>
          <w:lang w:val="en-AU"/>
        </w:rPr>
        <w:t xml:space="preserve">the </w:t>
      </w:r>
      <w:r w:rsidRPr="00504456">
        <w:rPr>
          <w:rFonts w:ascii="Arial" w:hAnsi="Arial" w:cs="Arial"/>
          <w:bCs/>
          <w:lang w:val="en-AU"/>
        </w:rPr>
        <w:t>invitation to provide feedback through Council's website, stakeholder networks, notices in the Progress Leader, letters t</w:t>
      </w:r>
      <w:r w:rsidR="00416B82" w:rsidRPr="00504456">
        <w:rPr>
          <w:rFonts w:ascii="Arial" w:hAnsi="Arial" w:cs="Arial"/>
          <w:bCs/>
          <w:lang w:val="en-AU"/>
        </w:rPr>
        <w:t>o venue operators, and hard-copies of the policy</w:t>
      </w:r>
      <w:r w:rsidRPr="00504456">
        <w:rPr>
          <w:rFonts w:ascii="Arial" w:hAnsi="Arial" w:cs="Arial"/>
          <w:bCs/>
          <w:lang w:val="en-AU"/>
        </w:rPr>
        <w:t xml:space="preserve"> in Boroondara Libraries and Camberwell Customer Service. Community feedback was positive and</w:t>
      </w:r>
      <w:r w:rsidR="008024FE" w:rsidRPr="00504456">
        <w:rPr>
          <w:rFonts w:ascii="Arial" w:hAnsi="Arial" w:cs="Arial"/>
          <w:bCs/>
          <w:lang w:val="en-AU"/>
        </w:rPr>
        <w:t xml:space="preserve"> has been</w:t>
      </w:r>
      <w:r w:rsidRPr="00504456">
        <w:rPr>
          <w:rFonts w:ascii="Arial" w:hAnsi="Arial" w:cs="Arial"/>
          <w:bCs/>
          <w:lang w:val="en-AU"/>
        </w:rPr>
        <w:t xml:space="preserve"> incorporated into the policy.  </w:t>
      </w:r>
    </w:p>
    <w:p w:rsidR="00855212" w:rsidRPr="00504456" w:rsidRDefault="00855212" w:rsidP="00855212">
      <w:pPr>
        <w:rPr>
          <w:rFonts w:ascii="Arial" w:hAnsi="Arial" w:cs="Arial"/>
        </w:rPr>
      </w:pPr>
    </w:p>
    <w:p w:rsidR="00A14868" w:rsidRPr="00504456" w:rsidRDefault="00A14868" w:rsidP="00A14868">
      <w:pPr>
        <w:pStyle w:val="Heading3"/>
        <w:rPr>
          <w:sz w:val="22"/>
          <w:szCs w:val="22"/>
        </w:rPr>
      </w:pPr>
      <w:bookmarkStart w:id="123" w:name="_Toc372787034"/>
      <w:r w:rsidRPr="00504456">
        <w:rPr>
          <w:sz w:val="22"/>
          <w:szCs w:val="22"/>
        </w:rPr>
        <w:t>Key consultation findings</w:t>
      </w:r>
      <w:bookmarkEnd w:id="123"/>
    </w:p>
    <w:p w:rsidR="00A14868" w:rsidRPr="00504456" w:rsidRDefault="00A14868" w:rsidP="00A14868">
      <w:pPr>
        <w:rPr>
          <w:rFonts w:ascii="Arial" w:hAnsi="Arial" w:cs="Arial"/>
        </w:rPr>
      </w:pPr>
      <w:r w:rsidRPr="00504456">
        <w:rPr>
          <w:rFonts w:ascii="Arial" w:hAnsi="Arial" w:cs="Arial"/>
        </w:rPr>
        <w:t xml:space="preserve">The key findings of the telephone survey undertaken in December 2012 for the development of Council's </w:t>
      </w:r>
      <w:proofErr w:type="spellStart"/>
      <w:r w:rsidRPr="00504456">
        <w:rPr>
          <w:rFonts w:ascii="Arial" w:hAnsi="Arial" w:cs="Arial"/>
        </w:rPr>
        <w:t>BPHWP</w:t>
      </w:r>
      <w:proofErr w:type="spellEnd"/>
      <w:r w:rsidRPr="00504456">
        <w:rPr>
          <w:rFonts w:ascii="Arial" w:hAnsi="Arial" w:cs="Arial"/>
        </w:rPr>
        <w:t xml:space="preserve"> 2013-17 are:</w:t>
      </w:r>
    </w:p>
    <w:p w:rsidR="00A14868" w:rsidRPr="00504456" w:rsidRDefault="00A14868" w:rsidP="00A14868">
      <w:pPr>
        <w:numPr>
          <w:ilvl w:val="0"/>
          <w:numId w:val="16"/>
        </w:numPr>
        <w:rPr>
          <w:rFonts w:ascii="Arial" w:hAnsi="Arial" w:cs="Arial"/>
        </w:rPr>
      </w:pPr>
      <w:proofErr w:type="spellStart"/>
      <w:r w:rsidRPr="00504456">
        <w:rPr>
          <w:rFonts w:ascii="Arial" w:hAnsi="Arial" w:cs="Arial"/>
        </w:rPr>
        <w:t>EGM</w:t>
      </w:r>
      <w:proofErr w:type="spellEnd"/>
      <w:r w:rsidRPr="00504456">
        <w:rPr>
          <w:rFonts w:ascii="Arial" w:hAnsi="Arial" w:cs="Arial"/>
        </w:rPr>
        <w:t xml:space="preserve"> gambling was the most common </w:t>
      </w:r>
      <w:r w:rsidR="003F43D1" w:rsidRPr="00504456">
        <w:rPr>
          <w:rFonts w:ascii="Arial" w:hAnsi="Arial" w:cs="Arial"/>
        </w:rPr>
        <w:t>gambling a</w:t>
      </w:r>
      <w:r w:rsidR="000F07FC" w:rsidRPr="00504456">
        <w:rPr>
          <w:rFonts w:ascii="Arial" w:hAnsi="Arial" w:cs="Arial"/>
        </w:rPr>
        <w:t>ct</w:t>
      </w:r>
      <w:r w:rsidRPr="00504456">
        <w:rPr>
          <w:rFonts w:ascii="Arial" w:hAnsi="Arial" w:cs="Arial"/>
        </w:rPr>
        <w:t xml:space="preserve">ivity that respondents thought of when people talk about problem gambling. This was followed by horse racing, casino, TAB/sports betting and online gambling. </w:t>
      </w:r>
    </w:p>
    <w:p w:rsidR="00A14868" w:rsidRPr="00504456" w:rsidRDefault="00671B97" w:rsidP="00A14868">
      <w:pPr>
        <w:numPr>
          <w:ilvl w:val="0"/>
          <w:numId w:val="16"/>
        </w:numPr>
        <w:rPr>
          <w:rFonts w:ascii="Arial" w:hAnsi="Arial" w:cs="Arial"/>
        </w:rPr>
      </w:pPr>
      <w:r w:rsidRPr="00504456">
        <w:rPr>
          <w:rFonts w:ascii="Arial" w:hAnsi="Arial" w:cs="Arial"/>
        </w:rPr>
        <w:lastRenderedPageBreak/>
        <w:t>It was agreed or strongly agreed by 31</w:t>
      </w:r>
      <w:r w:rsidR="00A14868" w:rsidRPr="00504456">
        <w:rPr>
          <w:rFonts w:ascii="Arial" w:hAnsi="Arial" w:cs="Arial"/>
        </w:rPr>
        <w:t xml:space="preserve"> per cent of respondents that gambling was a serious social problem in Boroondara.</w:t>
      </w:r>
    </w:p>
    <w:p w:rsidR="00A14868" w:rsidRPr="00504456" w:rsidRDefault="00671B97" w:rsidP="00A14868">
      <w:pPr>
        <w:numPr>
          <w:ilvl w:val="0"/>
          <w:numId w:val="16"/>
        </w:numPr>
        <w:rPr>
          <w:rFonts w:ascii="Arial" w:hAnsi="Arial" w:cs="Arial"/>
        </w:rPr>
      </w:pPr>
      <w:r w:rsidRPr="00504456">
        <w:rPr>
          <w:rFonts w:ascii="Arial" w:hAnsi="Arial" w:cs="Arial"/>
        </w:rPr>
        <w:t>It was agreed or strongly agreed by 80</w:t>
      </w:r>
      <w:r w:rsidR="00A14868" w:rsidRPr="00504456">
        <w:rPr>
          <w:rFonts w:ascii="Arial" w:hAnsi="Arial" w:cs="Arial"/>
        </w:rPr>
        <w:t xml:space="preserve"> per cent of respondents that people should be limited to spending an amount they nominate before they start gambling on </w:t>
      </w:r>
      <w:proofErr w:type="spellStart"/>
      <w:r w:rsidR="00A14868" w:rsidRPr="00504456">
        <w:rPr>
          <w:rFonts w:ascii="Arial" w:hAnsi="Arial" w:cs="Arial"/>
        </w:rPr>
        <w:t>EGMs</w:t>
      </w:r>
      <w:proofErr w:type="spellEnd"/>
      <w:r w:rsidR="00A14868" w:rsidRPr="00504456">
        <w:rPr>
          <w:rFonts w:ascii="Arial" w:hAnsi="Arial" w:cs="Arial"/>
        </w:rPr>
        <w:t>.</w:t>
      </w:r>
    </w:p>
    <w:p w:rsidR="00A14868" w:rsidRPr="00504456" w:rsidRDefault="009F05F9" w:rsidP="00A14868">
      <w:pPr>
        <w:numPr>
          <w:ilvl w:val="0"/>
          <w:numId w:val="16"/>
        </w:numPr>
        <w:rPr>
          <w:rFonts w:ascii="Arial" w:hAnsi="Arial" w:cs="Arial"/>
        </w:rPr>
      </w:pPr>
      <w:r w:rsidRPr="00504456">
        <w:rPr>
          <w:rFonts w:ascii="Arial" w:hAnsi="Arial" w:cs="Arial"/>
        </w:rPr>
        <w:t xml:space="preserve">It was agreed </w:t>
      </w:r>
      <w:r w:rsidR="00501CAF" w:rsidRPr="00504456">
        <w:rPr>
          <w:rFonts w:ascii="Arial" w:hAnsi="Arial" w:cs="Arial"/>
        </w:rPr>
        <w:t>by</w:t>
      </w:r>
      <w:r w:rsidRPr="00504456">
        <w:rPr>
          <w:rFonts w:ascii="Arial" w:hAnsi="Arial" w:cs="Arial"/>
        </w:rPr>
        <w:t xml:space="preserve"> 72 </w:t>
      </w:r>
      <w:r w:rsidR="00A14868" w:rsidRPr="00504456">
        <w:rPr>
          <w:rFonts w:ascii="Arial" w:hAnsi="Arial" w:cs="Arial"/>
        </w:rPr>
        <w:t xml:space="preserve">per cent of respondents that the maximum bet on </w:t>
      </w:r>
      <w:proofErr w:type="spellStart"/>
      <w:r w:rsidR="00A14868" w:rsidRPr="00504456">
        <w:rPr>
          <w:rFonts w:ascii="Arial" w:hAnsi="Arial" w:cs="Arial"/>
        </w:rPr>
        <w:t>EGMs</w:t>
      </w:r>
      <w:proofErr w:type="spellEnd"/>
      <w:r w:rsidR="00A14868" w:rsidRPr="00504456">
        <w:rPr>
          <w:rFonts w:ascii="Arial" w:hAnsi="Arial" w:cs="Arial"/>
        </w:rPr>
        <w:t xml:space="preserve"> should be reduced to $1. In Victoria, it is currently $5.</w:t>
      </w:r>
      <w:r w:rsidR="00A14868" w:rsidRPr="00504456">
        <w:rPr>
          <w:rStyle w:val="FootnoteReference"/>
          <w:rFonts w:ascii="Arial" w:hAnsi="Arial" w:cs="Arial"/>
        </w:rPr>
        <w:t xml:space="preserve"> </w:t>
      </w:r>
      <w:r w:rsidR="00A14868" w:rsidRPr="00504456">
        <w:rPr>
          <w:rStyle w:val="FootnoteReference"/>
          <w:rFonts w:ascii="Arial" w:hAnsi="Arial" w:cs="Arial"/>
        </w:rPr>
        <w:footnoteReference w:id="48"/>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Consultation with </w:t>
      </w:r>
      <w:proofErr w:type="spellStart"/>
      <w:r w:rsidRPr="00504456">
        <w:rPr>
          <w:rFonts w:ascii="Arial" w:hAnsi="Arial" w:cs="Arial"/>
        </w:rPr>
        <w:t>GHE</w:t>
      </w:r>
      <w:proofErr w:type="spellEnd"/>
      <w:r w:rsidRPr="00504456">
        <w:rPr>
          <w:rFonts w:ascii="Arial" w:hAnsi="Arial" w:cs="Arial"/>
        </w:rPr>
        <w:t xml:space="preserve"> identified the following key issues:</w:t>
      </w:r>
    </w:p>
    <w:p w:rsidR="00A14868" w:rsidRPr="00504456" w:rsidRDefault="00A14868" w:rsidP="00A14868">
      <w:pPr>
        <w:numPr>
          <w:ilvl w:val="0"/>
          <w:numId w:val="16"/>
        </w:numPr>
        <w:rPr>
          <w:rFonts w:ascii="Arial" w:hAnsi="Arial" w:cs="Arial"/>
        </w:rPr>
      </w:pPr>
      <w:r w:rsidRPr="00504456">
        <w:rPr>
          <w:rFonts w:ascii="Arial" w:hAnsi="Arial" w:cs="Arial"/>
        </w:rPr>
        <w:t xml:space="preserve">An estimated 80 per cent of </w:t>
      </w:r>
      <w:proofErr w:type="spellStart"/>
      <w:r w:rsidRPr="00504456">
        <w:rPr>
          <w:rFonts w:ascii="Arial" w:hAnsi="Arial" w:cs="Arial"/>
        </w:rPr>
        <w:t>GHE</w:t>
      </w:r>
      <w:proofErr w:type="spellEnd"/>
      <w:r w:rsidRPr="00504456">
        <w:rPr>
          <w:rFonts w:ascii="Arial" w:hAnsi="Arial" w:cs="Arial"/>
        </w:rPr>
        <w:t xml:space="preserve"> clients across the </w:t>
      </w:r>
      <w:proofErr w:type="spellStart"/>
      <w:r w:rsidRPr="00504456">
        <w:rPr>
          <w:rFonts w:ascii="Arial" w:hAnsi="Arial" w:cs="Arial"/>
        </w:rPr>
        <w:t>EMR</w:t>
      </w:r>
      <w:proofErr w:type="spellEnd"/>
      <w:r w:rsidRPr="00504456">
        <w:rPr>
          <w:rFonts w:ascii="Arial" w:hAnsi="Arial" w:cs="Arial"/>
        </w:rPr>
        <w:t xml:space="preserve"> are presenting with </w:t>
      </w:r>
      <w:proofErr w:type="spellStart"/>
      <w:r w:rsidRPr="00504456">
        <w:rPr>
          <w:rFonts w:ascii="Arial" w:hAnsi="Arial" w:cs="Arial"/>
        </w:rPr>
        <w:t>EGM</w:t>
      </w:r>
      <w:proofErr w:type="spellEnd"/>
      <w:r w:rsidRPr="00504456">
        <w:rPr>
          <w:rFonts w:ascii="Arial" w:hAnsi="Arial" w:cs="Arial"/>
        </w:rPr>
        <w:t xml:space="preserve"> gambling as their major form of problem gambling.</w:t>
      </w:r>
    </w:p>
    <w:p w:rsidR="00A14868" w:rsidRPr="00504456" w:rsidRDefault="00A14868" w:rsidP="00A14868">
      <w:pPr>
        <w:numPr>
          <w:ilvl w:val="0"/>
          <w:numId w:val="16"/>
        </w:numPr>
        <w:rPr>
          <w:rFonts w:ascii="Arial" w:hAnsi="Arial" w:cs="Arial"/>
        </w:rPr>
      </w:pPr>
      <w:r w:rsidRPr="00504456">
        <w:rPr>
          <w:rFonts w:ascii="Arial" w:hAnsi="Arial" w:cs="Arial"/>
        </w:rPr>
        <w:t xml:space="preserve">Increased numbers of </w:t>
      </w:r>
      <w:proofErr w:type="spellStart"/>
      <w:r w:rsidRPr="00504456">
        <w:rPr>
          <w:rFonts w:ascii="Arial" w:hAnsi="Arial" w:cs="Arial"/>
        </w:rPr>
        <w:t>GHE</w:t>
      </w:r>
      <w:proofErr w:type="spellEnd"/>
      <w:r w:rsidRPr="00504456">
        <w:rPr>
          <w:rFonts w:ascii="Arial" w:hAnsi="Arial" w:cs="Arial"/>
        </w:rPr>
        <w:t xml:space="preserve"> clients from Boroondara are presenting with gambling problems related to sports betting compared to other councils in the </w:t>
      </w:r>
      <w:proofErr w:type="spellStart"/>
      <w:r w:rsidRPr="00504456">
        <w:rPr>
          <w:rFonts w:ascii="Arial" w:hAnsi="Arial" w:cs="Arial"/>
        </w:rPr>
        <w:t>EMR</w:t>
      </w:r>
      <w:proofErr w:type="spellEnd"/>
      <w:r w:rsidRPr="00504456">
        <w:rPr>
          <w:rFonts w:ascii="Arial" w:hAnsi="Arial" w:cs="Arial"/>
        </w:rPr>
        <w:t>.</w:t>
      </w:r>
      <w:r w:rsidR="00E91861" w:rsidRPr="00504456">
        <w:rPr>
          <w:rFonts w:ascii="Arial" w:hAnsi="Arial" w:cs="Arial"/>
        </w:rPr>
        <w:t xml:space="preserve"> </w:t>
      </w:r>
      <w:proofErr w:type="gramStart"/>
      <w:r w:rsidR="00E91861" w:rsidRPr="00504456">
        <w:rPr>
          <w:rFonts w:ascii="Arial" w:hAnsi="Arial" w:cs="Arial"/>
        </w:rPr>
        <w:t>Sports betting is</w:t>
      </w:r>
      <w:proofErr w:type="gramEnd"/>
      <w:r w:rsidR="00E91861" w:rsidRPr="00504456">
        <w:rPr>
          <w:rFonts w:ascii="Arial" w:hAnsi="Arial" w:cs="Arial"/>
        </w:rPr>
        <w:t xml:space="preserve"> undertaken</w:t>
      </w:r>
      <w:r w:rsidR="001E787D" w:rsidRPr="00504456">
        <w:rPr>
          <w:rFonts w:ascii="Arial" w:hAnsi="Arial" w:cs="Arial"/>
        </w:rPr>
        <w:t xml:space="preserve"> in relation to a range of popular sporting events, and also in relation to horse racing, which is a distinctive area of problem gambling. </w:t>
      </w:r>
    </w:p>
    <w:p w:rsidR="00A14868" w:rsidRPr="00504456" w:rsidRDefault="00A14868" w:rsidP="00A14868">
      <w:pPr>
        <w:numPr>
          <w:ilvl w:val="0"/>
          <w:numId w:val="16"/>
        </w:numPr>
        <w:rPr>
          <w:rFonts w:ascii="Arial" w:hAnsi="Arial" w:cs="Arial"/>
        </w:rPr>
      </w:pPr>
      <w:r w:rsidRPr="00504456">
        <w:rPr>
          <w:rFonts w:ascii="Arial" w:hAnsi="Arial" w:cs="Arial"/>
        </w:rPr>
        <w:t>Online gambling is an ongoing concern, in particular for young males.</w:t>
      </w:r>
    </w:p>
    <w:p w:rsidR="00A14868" w:rsidRPr="00504456" w:rsidRDefault="00A14868" w:rsidP="00A14868">
      <w:pPr>
        <w:numPr>
          <w:ilvl w:val="0"/>
          <w:numId w:val="16"/>
        </w:numPr>
        <w:rPr>
          <w:rFonts w:ascii="Arial" w:hAnsi="Arial" w:cs="Arial"/>
        </w:rPr>
      </w:pPr>
      <w:r w:rsidRPr="00504456">
        <w:rPr>
          <w:rFonts w:ascii="Arial" w:hAnsi="Arial" w:cs="Arial"/>
        </w:rPr>
        <w:t xml:space="preserve">Internet and smart-phone technology is putting younger people at risk with gambling freely available on apps and social network sites. International students are particularly at risk due to greater exposure to gambling opportunities in Australia than at home.  </w:t>
      </w:r>
    </w:p>
    <w:p w:rsidR="00A14868" w:rsidRPr="00504456" w:rsidRDefault="00A14868" w:rsidP="00A14868">
      <w:pPr>
        <w:numPr>
          <w:ilvl w:val="0"/>
          <w:numId w:val="16"/>
        </w:numPr>
        <w:rPr>
          <w:rFonts w:ascii="Arial" w:hAnsi="Arial" w:cs="Arial"/>
        </w:rPr>
      </w:pPr>
      <w:proofErr w:type="spellStart"/>
      <w:r w:rsidRPr="00504456">
        <w:rPr>
          <w:rFonts w:ascii="Arial" w:hAnsi="Arial" w:cs="Arial"/>
        </w:rPr>
        <w:t>GHE</w:t>
      </w:r>
      <w:proofErr w:type="spellEnd"/>
      <w:r w:rsidRPr="00504456">
        <w:rPr>
          <w:rFonts w:ascii="Arial" w:hAnsi="Arial" w:cs="Arial"/>
        </w:rPr>
        <w:t xml:space="preserve"> has found some of its clients </w:t>
      </w:r>
      <w:r w:rsidR="001B3A46" w:rsidRPr="00504456">
        <w:rPr>
          <w:rFonts w:ascii="Arial" w:hAnsi="Arial" w:cs="Arial"/>
        </w:rPr>
        <w:t>prefer</w:t>
      </w:r>
      <w:r w:rsidRPr="00504456">
        <w:rPr>
          <w:rFonts w:ascii="Arial" w:hAnsi="Arial" w:cs="Arial"/>
        </w:rPr>
        <w:t xml:space="preserve"> to gamble outside of the </w:t>
      </w:r>
      <w:r w:rsidR="00CA43F2" w:rsidRPr="00504456">
        <w:rPr>
          <w:rFonts w:ascii="Arial" w:hAnsi="Arial" w:cs="Arial"/>
        </w:rPr>
        <w:t>area</w:t>
      </w:r>
      <w:r w:rsidRPr="00504456">
        <w:rPr>
          <w:rFonts w:ascii="Arial" w:hAnsi="Arial" w:cs="Arial"/>
        </w:rPr>
        <w:t xml:space="preserve">, so the combined </w:t>
      </w:r>
      <w:r w:rsidR="00723406" w:rsidRPr="00504456">
        <w:rPr>
          <w:rFonts w:ascii="Arial" w:hAnsi="Arial" w:cs="Arial"/>
        </w:rPr>
        <w:t xml:space="preserve">Boroondara resident </w:t>
      </w:r>
      <w:r w:rsidRPr="00504456">
        <w:rPr>
          <w:rFonts w:ascii="Arial" w:hAnsi="Arial" w:cs="Arial"/>
        </w:rPr>
        <w:t xml:space="preserve">losses are </w:t>
      </w:r>
      <w:r w:rsidR="00D273C4" w:rsidRPr="00504456">
        <w:rPr>
          <w:rFonts w:ascii="Arial" w:hAnsi="Arial" w:cs="Arial"/>
        </w:rPr>
        <w:t xml:space="preserve">potentially </w:t>
      </w:r>
      <w:r w:rsidRPr="00504456">
        <w:rPr>
          <w:rFonts w:ascii="Arial" w:hAnsi="Arial" w:cs="Arial"/>
        </w:rPr>
        <w:t>higher</w:t>
      </w:r>
      <w:r w:rsidR="00723406" w:rsidRPr="00504456">
        <w:rPr>
          <w:rFonts w:ascii="Arial" w:hAnsi="Arial" w:cs="Arial"/>
        </w:rPr>
        <w:t xml:space="preserve"> than the losses published for the City by the </w:t>
      </w:r>
      <w:proofErr w:type="spellStart"/>
      <w:r w:rsidR="00723406" w:rsidRPr="00504456">
        <w:rPr>
          <w:rFonts w:ascii="Arial" w:hAnsi="Arial" w:cs="Arial"/>
        </w:rPr>
        <w:t>VCGLR</w:t>
      </w:r>
      <w:proofErr w:type="spellEnd"/>
      <w:r w:rsidRPr="00504456">
        <w:rPr>
          <w:rFonts w:ascii="Arial" w:hAnsi="Arial" w:cs="Arial"/>
        </w:rPr>
        <w:t xml:space="preserve">. </w:t>
      </w:r>
    </w:p>
    <w:p w:rsidR="00A14868" w:rsidRPr="00504456" w:rsidRDefault="00A14868" w:rsidP="00A14868">
      <w:pPr>
        <w:numPr>
          <w:ilvl w:val="0"/>
          <w:numId w:val="16"/>
        </w:numPr>
        <w:rPr>
          <w:rFonts w:ascii="Arial" w:hAnsi="Arial" w:cs="Arial"/>
        </w:rPr>
      </w:pPr>
      <w:r w:rsidRPr="00504456">
        <w:rPr>
          <w:rFonts w:ascii="Arial" w:hAnsi="Arial" w:cs="Arial"/>
        </w:rPr>
        <w:t>The quality of life of some Boroondara residents is significantly affected by gambling. Clients present with a broad range of issues from mortgage defaults, exceeding credit card limits, small businesses going under, unpaid utilities, bills and school fees. These impacts then put a strain on personal relationships, self-esteem, health and work and community in general.</w:t>
      </w:r>
    </w:p>
    <w:p w:rsidR="00A14868" w:rsidRPr="00504456" w:rsidRDefault="00A14868" w:rsidP="00A14868">
      <w:pPr>
        <w:numPr>
          <w:ilvl w:val="0"/>
          <w:numId w:val="16"/>
        </w:numPr>
        <w:rPr>
          <w:rFonts w:ascii="Arial" w:hAnsi="Arial" w:cs="Arial"/>
        </w:rPr>
      </w:pPr>
      <w:r w:rsidRPr="00504456">
        <w:rPr>
          <w:rFonts w:ascii="Arial" w:hAnsi="Arial" w:cs="Arial"/>
        </w:rPr>
        <w:t>Shame and stigma are the most common reasons why people do not seek help for gambling related harm.</w:t>
      </w:r>
    </w:p>
    <w:p w:rsidR="00A14868" w:rsidRPr="00504456" w:rsidRDefault="00A14868" w:rsidP="00A14868">
      <w:pPr>
        <w:numPr>
          <w:ilvl w:val="0"/>
          <w:numId w:val="16"/>
        </w:numPr>
        <w:rPr>
          <w:rFonts w:ascii="Arial" w:hAnsi="Arial" w:cs="Arial"/>
        </w:rPr>
      </w:pPr>
      <w:r w:rsidRPr="00504456">
        <w:rPr>
          <w:rFonts w:ascii="Arial" w:hAnsi="Arial" w:cs="Arial"/>
        </w:rPr>
        <w:t xml:space="preserve">Social isolation, particularly among the elderly, is a key reason why people turn to gambling. </w:t>
      </w:r>
    </w:p>
    <w:p w:rsidR="001E787D" w:rsidRPr="00504456" w:rsidRDefault="00A14868" w:rsidP="00A14868">
      <w:pPr>
        <w:numPr>
          <w:ilvl w:val="0"/>
          <w:numId w:val="16"/>
        </w:numPr>
        <w:rPr>
          <w:rFonts w:ascii="Arial" w:hAnsi="Arial" w:cs="Arial"/>
        </w:rPr>
      </w:pPr>
      <w:r w:rsidRPr="00504456">
        <w:rPr>
          <w:rFonts w:ascii="Arial" w:hAnsi="Arial" w:cs="Arial"/>
        </w:rPr>
        <w:t>Youth are at risk, as gambling is often seen as a ‘rite of passage’ into adulthood, together with drinking.</w:t>
      </w:r>
    </w:p>
    <w:p w:rsidR="004B1F9E" w:rsidRPr="00504456" w:rsidRDefault="004B1F9E" w:rsidP="004B1F9E">
      <w:pPr>
        <w:numPr>
          <w:ilvl w:val="0"/>
          <w:numId w:val="16"/>
        </w:numPr>
        <w:rPr>
          <w:rFonts w:ascii="Arial" w:hAnsi="Arial"/>
        </w:rPr>
      </w:pPr>
      <w:r w:rsidRPr="00504456">
        <w:rPr>
          <w:rFonts w:ascii="Arial" w:hAnsi="Arial"/>
        </w:rPr>
        <w:t xml:space="preserve">Young people and children are </w:t>
      </w:r>
      <w:r w:rsidR="00E91861" w:rsidRPr="00504456">
        <w:rPr>
          <w:rFonts w:ascii="Arial" w:hAnsi="Arial"/>
        </w:rPr>
        <w:t>increasingly</w:t>
      </w:r>
      <w:r w:rsidRPr="00504456">
        <w:rPr>
          <w:rFonts w:ascii="Arial" w:hAnsi="Arial"/>
        </w:rPr>
        <w:t xml:space="preserve"> subject to the </w:t>
      </w:r>
      <w:proofErr w:type="spellStart"/>
      <w:r w:rsidRPr="00504456">
        <w:rPr>
          <w:rFonts w:ascii="Arial" w:hAnsi="Arial"/>
        </w:rPr>
        <w:t>normalisation</w:t>
      </w:r>
      <w:proofErr w:type="spellEnd"/>
      <w:r w:rsidRPr="00504456">
        <w:rPr>
          <w:rFonts w:ascii="Arial" w:hAnsi="Arial"/>
        </w:rPr>
        <w:t xml:space="preserve"> of gambling through marketing strategies and gaming. This 'grooming' process occurs when young people watch or participate in sporting events</w:t>
      </w:r>
      <w:r w:rsidRPr="00504456">
        <w:t xml:space="preserve"> </w:t>
      </w:r>
      <w:r w:rsidR="003E72A6" w:rsidRPr="00504456">
        <w:rPr>
          <w:rFonts w:ascii="Arial" w:hAnsi="Arial"/>
        </w:rPr>
        <w:t xml:space="preserve">where </w:t>
      </w:r>
      <w:proofErr w:type="gramStart"/>
      <w:r w:rsidR="003E72A6" w:rsidRPr="00504456">
        <w:rPr>
          <w:rFonts w:ascii="Arial" w:hAnsi="Arial"/>
        </w:rPr>
        <w:t xml:space="preserve">sports </w:t>
      </w:r>
      <w:r w:rsidRPr="00504456">
        <w:rPr>
          <w:rFonts w:ascii="Arial" w:hAnsi="Arial"/>
        </w:rPr>
        <w:t>betting is</w:t>
      </w:r>
      <w:proofErr w:type="gramEnd"/>
      <w:r w:rsidRPr="00504456">
        <w:rPr>
          <w:rFonts w:ascii="Arial" w:hAnsi="Arial"/>
        </w:rPr>
        <w:t xml:space="preserve"> prominent, and when they play online games designed to practice gambling skills.  </w:t>
      </w:r>
    </w:p>
    <w:p w:rsidR="00A14868" w:rsidRPr="00504456" w:rsidRDefault="00A14868" w:rsidP="00A14868">
      <w:pPr>
        <w:ind w:left="720"/>
        <w:rPr>
          <w:rFonts w:ascii="Arial" w:hAnsi="Arial" w:cs="Arial"/>
        </w:rPr>
      </w:pPr>
    </w:p>
    <w:p w:rsidR="00A14868" w:rsidRPr="00504456" w:rsidRDefault="00A14868" w:rsidP="00A14868">
      <w:pPr>
        <w:rPr>
          <w:rFonts w:ascii="Arial" w:hAnsi="Arial" w:cs="Arial"/>
        </w:rPr>
      </w:pPr>
      <w:proofErr w:type="spellStart"/>
      <w:r w:rsidRPr="00504456">
        <w:rPr>
          <w:rFonts w:ascii="Arial" w:hAnsi="Arial" w:cs="Arial"/>
        </w:rPr>
        <w:t>EGM</w:t>
      </w:r>
      <w:proofErr w:type="spellEnd"/>
      <w:r w:rsidRPr="00504456">
        <w:rPr>
          <w:rFonts w:ascii="Arial" w:hAnsi="Arial" w:cs="Arial"/>
        </w:rPr>
        <w:t xml:space="preserve"> gambling is the key form of gambling that respondents to Council's survey </w:t>
      </w:r>
      <w:proofErr w:type="gramStart"/>
      <w:r w:rsidRPr="00504456">
        <w:rPr>
          <w:rFonts w:ascii="Arial" w:hAnsi="Arial" w:cs="Arial"/>
        </w:rPr>
        <w:t>raised</w:t>
      </w:r>
      <w:proofErr w:type="gramEnd"/>
      <w:r w:rsidRPr="00504456">
        <w:rPr>
          <w:rFonts w:ascii="Arial" w:hAnsi="Arial" w:cs="Arial"/>
        </w:rPr>
        <w:t xml:space="preserve"> in relation to problem gambling, and is also the major form of gambling that </w:t>
      </w:r>
      <w:proofErr w:type="spellStart"/>
      <w:r w:rsidRPr="00504456">
        <w:rPr>
          <w:rFonts w:ascii="Arial" w:hAnsi="Arial" w:cs="Arial"/>
        </w:rPr>
        <w:t>GHE</w:t>
      </w:r>
      <w:proofErr w:type="spellEnd"/>
      <w:r w:rsidRPr="00504456">
        <w:rPr>
          <w:rFonts w:ascii="Arial" w:hAnsi="Arial" w:cs="Arial"/>
        </w:rPr>
        <w:t xml:space="preserve"> clients are presenting with. As there are growing concerns about other forms of gambling, this policy also notes that Council has a role to play in relation to all forms of gambling as an advocate, partner, community educator and researcher. Furthermore, the policy includes a strategy about advocating to the Victorian and Australian Governments about pre-commitment and $1 maximum bet limits, which were strongly supported by respondents to Council's survey. </w:t>
      </w:r>
      <w:r w:rsidRPr="00504456">
        <w:rPr>
          <w:rFonts w:ascii="Arial" w:hAnsi="Arial" w:cs="Arial"/>
        </w:rPr>
        <w:lastRenderedPageBreak/>
        <w:t xml:space="preserve">Finally, the policy notes that Council will continue to promote social, cultural and recreational opportunities to the community that could be alternatives to </w:t>
      </w:r>
      <w:proofErr w:type="spellStart"/>
      <w:r w:rsidRPr="00504456">
        <w:rPr>
          <w:rFonts w:ascii="Arial" w:hAnsi="Arial" w:cs="Arial"/>
        </w:rPr>
        <w:t>EGM</w:t>
      </w:r>
      <w:proofErr w:type="spellEnd"/>
      <w:r w:rsidRPr="00504456">
        <w:rPr>
          <w:rFonts w:ascii="Arial" w:hAnsi="Arial" w:cs="Arial"/>
        </w:rPr>
        <w:t xml:space="preserve"> gambling.</w:t>
      </w:r>
    </w:p>
    <w:p w:rsidR="00A14868" w:rsidRPr="00504456" w:rsidRDefault="00A14868" w:rsidP="00A14868">
      <w:pPr>
        <w:pStyle w:val="Heading1"/>
      </w:pPr>
      <w:bookmarkStart w:id="124" w:name="_Toc352932378"/>
      <w:bookmarkStart w:id="125" w:name="_Toc352933252"/>
      <w:bookmarkStart w:id="126" w:name="_Toc352933429"/>
      <w:bookmarkStart w:id="127" w:name="_Toc352933526"/>
      <w:bookmarkStart w:id="128" w:name="_Toc352933642"/>
      <w:bookmarkStart w:id="129" w:name="_Toc352937986"/>
      <w:bookmarkStart w:id="130" w:name="_Toc372787035"/>
      <w:bookmarkEnd w:id="124"/>
      <w:bookmarkEnd w:id="125"/>
      <w:bookmarkEnd w:id="126"/>
      <w:bookmarkEnd w:id="127"/>
      <w:bookmarkEnd w:id="128"/>
      <w:bookmarkEnd w:id="129"/>
      <w:r w:rsidRPr="00504456">
        <w:t>Policy statement</w:t>
      </w:r>
      <w:bookmarkEnd w:id="130"/>
    </w:p>
    <w:p w:rsidR="00A14868" w:rsidRPr="00504456" w:rsidRDefault="00A14868" w:rsidP="00A14868">
      <w:pPr>
        <w:pStyle w:val="Heading2"/>
        <w:spacing w:before="0"/>
      </w:pPr>
      <w:bookmarkStart w:id="131" w:name="_Toc372787036"/>
      <w:r w:rsidRPr="00504456">
        <w:t>Goal</w:t>
      </w:r>
      <w:bookmarkEnd w:id="131"/>
      <w:r w:rsidRPr="00504456">
        <w:t xml:space="preserve"> </w:t>
      </w:r>
    </w:p>
    <w:p w:rsidR="00A14868" w:rsidRPr="00504456" w:rsidRDefault="00A14868" w:rsidP="00A14868">
      <w:pPr>
        <w:pStyle w:val="Default"/>
        <w:spacing w:after="120"/>
        <w:rPr>
          <w:rFonts w:ascii="Arial" w:hAnsi="Arial" w:cs="Arial"/>
        </w:rPr>
      </w:pPr>
      <w:r w:rsidRPr="00504456">
        <w:rPr>
          <w:rFonts w:ascii="Arial" w:hAnsi="Arial" w:cs="Arial"/>
        </w:rPr>
        <w:t>The overall goal and long-term commitment of the Responsible Gambling Policy 2013-1</w:t>
      </w:r>
      <w:r w:rsidR="00A547D1" w:rsidRPr="00504456">
        <w:rPr>
          <w:rFonts w:ascii="Arial" w:hAnsi="Arial" w:cs="Arial"/>
        </w:rPr>
        <w:t>8</w:t>
      </w:r>
      <w:r w:rsidRPr="00504456">
        <w:rPr>
          <w:rFonts w:ascii="Arial" w:hAnsi="Arial" w:cs="Arial"/>
        </w:rPr>
        <w:t xml:space="preserve"> is to minimise and reduce the negative impacts of gambling, and in particular </w:t>
      </w:r>
      <w:proofErr w:type="spellStart"/>
      <w:r w:rsidRPr="00504456">
        <w:rPr>
          <w:rFonts w:ascii="Arial" w:hAnsi="Arial" w:cs="Arial"/>
        </w:rPr>
        <w:t>EGM</w:t>
      </w:r>
      <w:proofErr w:type="spellEnd"/>
      <w:r w:rsidRPr="00504456">
        <w:rPr>
          <w:rFonts w:ascii="Arial" w:hAnsi="Arial" w:cs="Arial"/>
        </w:rPr>
        <w:t xml:space="preserve"> gambling, on the Boroondara community. Council has the following six roles in relation to this policy: land owner, regulator/planner, advocate, partner, community educator and researcher.</w:t>
      </w:r>
    </w:p>
    <w:p w:rsidR="00A14868" w:rsidRPr="00504456" w:rsidRDefault="00A14868" w:rsidP="00A14868">
      <w:pPr>
        <w:pStyle w:val="Default"/>
        <w:rPr>
          <w:rFonts w:ascii="Arial" w:hAnsi="Arial" w:cs="Arial"/>
        </w:rPr>
      </w:pPr>
      <w:bookmarkStart w:id="132" w:name="_Toc352937989"/>
      <w:bookmarkEnd w:id="132"/>
    </w:p>
    <w:p w:rsidR="00A14868" w:rsidRPr="00504456" w:rsidRDefault="00A14868" w:rsidP="00A14868">
      <w:pPr>
        <w:pStyle w:val="Heading2"/>
        <w:spacing w:before="0"/>
      </w:pPr>
      <w:bookmarkStart w:id="133" w:name="_Toc372787037"/>
      <w:r w:rsidRPr="00504456">
        <w:t>Objectives</w:t>
      </w:r>
      <w:bookmarkEnd w:id="133"/>
      <w:r w:rsidRPr="00504456">
        <w:t xml:space="preserve"> </w:t>
      </w:r>
    </w:p>
    <w:p w:rsidR="00A14868" w:rsidRPr="00504456" w:rsidRDefault="00A14868" w:rsidP="00A14868">
      <w:pPr>
        <w:pStyle w:val="BodyText"/>
        <w:rPr>
          <w:rFonts w:cs="Arial"/>
          <w:color w:val="000000"/>
          <w:sz w:val="24"/>
          <w:lang w:val="en-AU" w:eastAsia="en-AU"/>
        </w:rPr>
      </w:pPr>
      <w:r w:rsidRPr="00504456">
        <w:rPr>
          <w:rFonts w:cs="Arial"/>
          <w:color w:val="000000"/>
          <w:sz w:val="24"/>
          <w:lang w:val="en-AU" w:eastAsia="en-AU"/>
        </w:rPr>
        <w:t>The Responsible Gambling Policy 2013-1</w:t>
      </w:r>
      <w:r w:rsidR="00A547D1" w:rsidRPr="00504456">
        <w:rPr>
          <w:rFonts w:cs="Arial"/>
          <w:color w:val="000000"/>
          <w:sz w:val="24"/>
          <w:lang w:val="en-AU" w:eastAsia="en-AU"/>
        </w:rPr>
        <w:t>8</w:t>
      </w:r>
      <w:r w:rsidRPr="00504456">
        <w:rPr>
          <w:rFonts w:cs="Arial"/>
          <w:color w:val="000000"/>
          <w:sz w:val="24"/>
          <w:lang w:val="en-AU" w:eastAsia="en-AU"/>
        </w:rPr>
        <w:t xml:space="preserve"> has nine objectives. The first </w:t>
      </w:r>
      <w:r w:rsidR="008D0CDA" w:rsidRPr="00504456">
        <w:rPr>
          <w:rFonts w:cs="Arial"/>
          <w:color w:val="000000"/>
          <w:sz w:val="24"/>
          <w:lang w:val="en-AU" w:eastAsia="en-AU"/>
        </w:rPr>
        <w:t>five</w:t>
      </w:r>
      <w:r w:rsidRPr="00504456">
        <w:rPr>
          <w:rFonts w:cs="Arial"/>
          <w:color w:val="000000"/>
          <w:sz w:val="24"/>
          <w:lang w:val="en-AU" w:eastAsia="en-AU"/>
        </w:rPr>
        <w:t xml:space="preserve"> objectives relate to Council's role as </w:t>
      </w:r>
      <w:r w:rsidR="008D0CDA" w:rsidRPr="00504456">
        <w:rPr>
          <w:rFonts w:cs="Arial"/>
          <w:color w:val="000000"/>
          <w:sz w:val="24"/>
          <w:lang w:val="en-AU" w:eastAsia="en-AU"/>
        </w:rPr>
        <w:t xml:space="preserve">land owner and </w:t>
      </w:r>
      <w:r w:rsidRPr="00504456">
        <w:rPr>
          <w:rFonts w:cs="Arial"/>
          <w:color w:val="000000"/>
          <w:sz w:val="24"/>
          <w:lang w:val="en-AU" w:eastAsia="en-AU"/>
        </w:rPr>
        <w:t xml:space="preserve">regulator/planner and refer to </w:t>
      </w:r>
      <w:proofErr w:type="spellStart"/>
      <w:r w:rsidRPr="00504456">
        <w:rPr>
          <w:rFonts w:cs="Arial"/>
          <w:color w:val="000000"/>
          <w:sz w:val="24"/>
          <w:lang w:val="en-AU" w:eastAsia="en-AU"/>
        </w:rPr>
        <w:t>EGM</w:t>
      </w:r>
      <w:proofErr w:type="spellEnd"/>
      <w:r w:rsidRPr="00504456">
        <w:rPr>
          <w:rFonts w:cs="Arial"/>
          <w:color w:val="000000"/>
          <w:sz w:val="24"/>
          <w:lang w:val="en-AU" w:eastAsia="en-AU"/>
        </w:rPr>
        <w:t xml:space="preserve"> gambling only. The remaining </w:t>
      </w:r>
      <w:r w:rsidR="008D0CDA" w:rsidRPr="00504456">
        <w:rPr>
          <w:rFonts w:cs="Arial"/>
          <w:color w:val="000000"/>
          <w:sz w:val="24"/>
          <w:lang w:val="en-AU" w:eastAsia="en-AU"/>
        </w:rPr>
        <w:t>four</w:t>
      </w:r>
      <w:r w:rsidRPr="00504456">
        <w:rPr>
          <w:rFonts w:cs="Arial"/>
          <w:color w:val="000000"/>
          <w:sz w:val="24"/>
          <w:lang w:val="en-AU" w:eastAsia="en-AU"/>
        </w:rPr>
        <w:t xml:space="preserve"> objectives refer to all forms of gambling and relate to Council's role as advocate, partner, community educator and researcher. It is Council policy to: </w:t>
      </w:r>
    </w:p>
    <w:p w:rsidR="00A14868" w:rsidRPr="00504456" w:rsidRDefault="004E29E4" w:rsidP="00036CC5">
      <w:pPr>
        <w:pStyle w:val="ListParagraph"/>
        <w:numPr>
          <w:ilvl w:val="0"/>
          <w:numId w:val="27"/>
        </w:numPr>
        <w:spacing w:after="120" w:line="240" w:lineRule="auto"/>
        <w:contextualSpacing w:val="0"/>
        <w:rPr>
          <w:color w:val="000000"/>
          <w:sz w:val="24"/>
          <w:szCs w:val="24"/>
        </w:rPr>
      </w:pPr>
      <w:r w:rsidRPr="00504456">
        <w:rPr>
          <w:rFonts w:ascii="Arial" w:hAnsi="Arial" w:cs="Arial"/>
          <w:color w:val="000000"/>
          <w:sz w:val="24"/>
          <w:szCs w:val="24"/>
        </w:rPr>
        <w:t>investigate</w:t>
      </w:r>
      <w:r w:rsidR="00F93586" w:rsidRPr="00504456">
        <w:rPr>
          <w:rFonts w:ascii="Arial" w:hAnsi="Arial" w:cs="Arial"/>
          <w:color w:val="000000"/>
          <w:sz w:val="24"/>
          <w:szCs w:val="24"/>
        </w:rPr>
        <w:t xml:space="preserve"> </w:t>
      </w:r>
      <w:r w:rsidR="00A14868" w:rsidRPr="00504456">
        <w:rPr>
          <w:rFonts w:ascii="Arial" w:hAnsi="Arial" w:cs="Arial"/>
          <w:color w:val="000000"/>
          <w:sz w:val="24"/>
          <w:szCs w:val="24"/>
        </w:rPr>
        <w:t xml:space="preserve">the social and economic impacts of </w:t>
      </w:r>
      <w:proofErr w:type="spellStart"/>
      <w:r w:rsidR="00A14868" w:rsidRPr="00504456">
        <w:rPr>
          <w:rFonts w:ascii="Arial" w:hAnsi="Arial" w:cs="Arial"/>
          <w:color w:val="000000"/>
          <w:sz w:val="24"/>
          <w:szCs w:val="24"/>
        </w:rPr>
        <w:t>EGMs</w:t>
      </w:r>
      <w:proofErr w:type="spellEnd"/>
      <w:r w:rsidR="00A14868" w:rsidRPr="00504456">
        <w:rPr>
          <w:rFonts w:ascii="Arial" w:hAnsi="Arial" w:cs="Arial"/>
          <w:color w:val="000000"/>
          <w:sz w:val="24"/>
          <w:szCs w:val="24"/>
        </w:rPr>
        <w:t xml:space="preserve"> when assessing </w:t>
      </w:r>
      <w:r w:rsidR="00F93586" w:rsidRPr="00504456">
        <w:rPr>
          <w:rFonts w:ascii="Arial" w:hAnsi="Arial" w:cs="Arial"/>
          <w:color w:val="000000"/>
          <w:sz w:val="24"/>
          <w:szCs w:val="24"/>
        </w:rPr>
        <w:t>gaming</w:t>
      </w:r>
      <w:r w:rsidR="00AE73E9" w:rsidRPr="00504456">
        <w:rPr>
          <w:rFonts w:ascii="Arial" w:hAnsi="Arial" w:cs="Arial"/>
          <w:color w:val="000000"/>
          <w:sz w:val="24"/>
          <w:szCs w:val="24"/>
        </w:rPr>
        <w:t xml:space="preserve"> </w:t>
      </w:r>
      <w:proofErr w:type="spellStart"/>
      <w:r w:rsidR="00AE73E9" w:rsidRPr="00504456">
        <w:rPr>
          <w:rFonts w:ascii="Arial" w:hAnsi="Arial" w:cs="Arial"/>
          <w:color w:val="000000"/>
          <w:sz w:val="24"/>
          <w:szCs w:val="24"/>
        </w:rPr>
        <w:t>licence</w:t>
      </w:r>
      <w:proofErr w:type="spellEnd"/>
      <w:r w:rsidR="00F93586" w:rsidRPr="00504456">
        <w:rPr>
          <w:rFonts w:ascii="Arial" w:hAnsi="Arial" w:cs="Arial"/>
          <w:color w:val="000000"/>
          <w:sz w:val="24"/>
          <w:szCs w:val="24"/>
        </w:rPr>
        <w:t xml:space="preserve"> </w:t>
      </w:r>
      <w:r w:rsidR="002A7B63" w:rsidRPr="00504456">
        <w:rPr>
          <w:rFonts w:ascii="Arial" w:hAnsi="Arial" w:cs="Arial"/>
          <w:color w:val="000000"/>
          <w:sz w:val="24"/>
          <w:szCs w:val="24"/>
        </w:rPr>
        <w:t>and planning</w:t>
      </w:r>
      <w:r w:rsidR="00AE73E9" w:rsidRPr="00504456">
        <w:rPr>
          <w:rFonts w:ascii="Arial" w:hAnsi="Arial" w:cs="Arial"/>
          <w:color w:val="000000"/>
          <w:sz w:val="24"/>
          <w:szCs w:val="24"/>
        </w:rPr>
        <w:t xml:space="preserve"> permit</w:t>
      </w:r>
      <w:r w:rsidR="00F93586" w:rsidRPr="00504456">
        <w:rPr>
          <w:rFonts w:ascii="Arial" w:hAnsi="Arial" w:cs="Arial"/>
          <w:color w:val="000000"/>
          <w:sz w:val="24"/>
          <w:szCs w:val="24"/>
        </w:rPr>
        <w:t xml:space="preserve"> </w:t>
      </w:r>
      <w:r w:rsidR="00AE73E9" w:rsidRPr="00504456">
        <w:rPr>
          <w:rFonts w:ascii="Arial" w:hAnsi="Arial" w:cs="Arial"/>
          <w:color w:val="000000"/>
          <w:sz w:val="24"/>
          <w:szCs w:val="24"/>
        </w:rPr>
        <w:t>applications</w:t>
      </w:r>
      <w:r w:rsidR="00A14868" w:rsidRPr="00504456">
        <w:rPr>
          <w:rFonts w:ascii="Arial" w:hAnsi="Arial" w:cs="Arial"/>
          <w:color w:val="000000"/>
          <w:sz w:val="24"/>
          <w:szCs w:val="24"/>
        </w:rPr>
        <w:t xml:space="preserve"> </w:t>
      </w:r>
    </w:p>
    <w:p w:rsidR="00A14868" w:rsidRPr="00504456" w:rsidRDefault="00FF18EC" w:rsidP="00036CC5">
      <w:pPr>
        <w:pStyle w:val="ListParagraph"/>
        <w:numPr>
          <w:ilvl w:val="0"/>
          <w:numId w:val="27"/>
        </w:numPr>
        <w:spacing w:after="120" w:line="240" w:lineRule="auto"/>
        <w:contextualSpacing w:val="0"/>
        <w:rPr>
          <w:color w:val="000000"/>
          <w:sz w:val="24"/>
          <w:szCs w:val="24"/>
        </w:rPr>
      </w:pPr>
      <w:r w:rsidRPr="00504456">
        <w:rPr>
          <w:rFonts w:ascii="Arial" w:hAnsi="Arial" w:cs="Arial"/>
          <w:color w:val="000000"/>
          <w:sz w:val="24"/>
          <w:szCs w:val="24"/>
        </w:rPr>
        <w:t xml:space="preserve">be satisfied </w:t>
      </w:r>
      <w:r w:rsidR="00A14868" w:rsidRPr="00504456">
        <w:rPr>
          <w:rFonts w:ascii="Arial" w:hAnsi="Arial" w:cs="Arial"/>
          <w:color w:val="000000"/>
          <w:sz w:val="24"/>
          <w:szCs w:val="24"/>
        </w:rPr>
        <w:t xml:space="preserve">that </w:t>
      </w:r>
      <w:r w:rsidR="004F21D1" w:rsidRPr="00504456">
        <w:rPr>
          <w:rFonts w:ascii="Arial" w:hAnsi="Arial" w:cs="Arial"/>
          <w:color w:val="000000"/>
          <w:sz w:val="24"/>
          <w:szCs w:val="24"/>
        </w:rPr>
        <w:t>gaming</w:t>
      </w:r>
      <w:r w:rsidR="00AE73E9" w:rsidRPr="00504456">
        <w:rPr>
          <w:rFonts w:ascii="Arial" w:hAnsi="Arial" w:cs="Arial"/>
          <w:color w:val="000000"/>
          <w:sz w:val="24"/>
          <w:szCs w:val="24"/>
        </w:rPr>
        <w:t xml:space="preserve"> </w:t>
      </w:r>
      <w:proofErr w:type="spellStart"/>
      <w:r w:rsidR="00AE73E9" w:rsidRPr="00504456">
        <w:rPr>
          <w:rFonts w:ascii="Arial" w:hAnsi="Arial" w:cs="Arial"/>
          <w:color w:val="000000"/>
          <w:sz w:val="24"/>
          <w:szCs w:val="24"/>
        </w:rPr>
        <w:t>licence</w:t>
      </w:r>
      <w:proofErr w:type="spellEnd"/>
      <w:r w:rsidR="00AE73E9" w:rsidRPr="00504456">
        <w:rPr>
          <w:rFonts w:ascii="Arial" w:hAnsi="Arial" w:cs="Arial"/>
          <w:color w:val="000000"/>
          <w:sz w:val="24"/>
          <w:szCs w:val="24"/>
        </w:rPr>
        <w:t xml:space="preserve"> applications</w:t>
      </w:r>
      <w:r w:rsidR="00A14868" w:rsidRPr="00504456">
        <w:rPr>
          <w:rFonts w:ascii="Arial" w:hAnsi="Arial" w:cs="Arial"/>
          <w:color w:val="000000"/>
          <w:sz w:val="24"/>
          <w:szCs w:val="24"/>
        </w:rPr>
        <w:t xml:space="preserve"> achieve a net community benefit</w:t>
      </w:r>
    </w:p>
    <w:p w:rsidR="00A14868" w:rsidRPr="00504456" w:rsidRDefault="008E6E6E" w:rsidP="00036CC5">
      <w:pPr>
        <w:numPr>
          <w:ilvl w:val="0"/>
          <w:numId w:val="27"/>
        </w:numPr>
        <w:spacing w:after="120"/>
        <w:rPr>
          <w:rFonts w:ascii="Arial" w:eastAsia="Calibri" w:hAnsi="Arial" w:cs="Arial"/>
          <w:color w:val="000000"/>
        </w:rPr>
      </w:pPr>
      <w:r w:rsidRPr="00504456">
        <w:rPr>
          <w:rFonts w:ascii="Arial" w:eastAsia="Calibri" w:hAnsi="Arial" w:cs="Arial"/>
          <w:color w:val="000000"/>
        </w:rPr>
        <w:t xml:space="preserve">use the planning permit application process to </w:t>
      </w:r>
      <w:r w:rsidR="00FF18EC" w:rsidRPr="00504456">
        <w:rPr>
          <w:rFonts w:ascii="Arial" w:eastAsia="Calibri" w:hAnsi="Arial" w:cs="Arial"/>
          <w:color w:val="000000"/>
        </w:rPr>
        <w:t>assess whether</w:t>
      </w:r>
      <w:r w:rsidR="00A14868" w:rsidRPr="00504456">
        <w:rPr>
          <w:rFonts w:ascii="Arial" w:eastAsia="Calibri" w:hAnsi="Arial" w:cs="Arial"/>
          <w:color w:val="000000"/>
        </w:rPr>
        <w:t xml:space="preserve"> the location and design of gaming premises </w:t>
      </w:r>
      <w:proofErr w:type="spellStart"/>
      <w:r w:rsidR="00A14868" w:rsidRPr="00504456">
        <w:rPr>
          <w:rFonts w:ascii="Arial" w:eastAsia="Calibri" w:hAnsi="Arial" w:cs="Arial"/>
          <w:color w:val="000000"/>
        </w:rPr>
        <w:t>minimises</w:t>
      </w:r>
      <w:proofErr w:type="spellEnd"/>
      <w:r w:rsidR="00A14868" w:rsidRPr="00504456">
        <w:rPr>
          <w:rFonts w:ascii="Arial" w:eastAsia="Calibri" w:hAnsi="Arial" w:cs="Arial"/>
          <w:color w:val="000000"/>
        </w:rPr>
        <w:t xml:space="preserve"> the incidence of problem gambling</w:t>
      </w:r>
      <w:r w:rsidRPr="00504456">
        <w:rPr>
          <w:rFonts w:ascii="Arial" w:eastAsia="Calibri" w:hAnsi="Arial" w:cs="Arial"/>
          <w:color w:val="000000"/>
        </w:rPr>
        <w:t xml:space="preserve"> </w:t>
      </w:r>
    </w:p>
    <w:p w:rsidR="00A14868" w:rsidRPr="00504456" w:rsidRDefault="00B555E4" w:rsidP="00036CC5">
      <w:pPr>
        <w:pStyle w:val="ListParagraph"/>
        <w:numPr>
          <w:ilvl w:val="0"/>
          <w:numId w:val="27"/>
        </w:numPr>
        <w:spacing w:after="120" w:line="240" w:lineRule="auto"/>
        <w:contextualSpacing w:val="0"/>
        <w:rPr>
          <w:color w:val="000000"/>
          <w:sz w:val="24"/>
          <w:szCs w:val="24"/>
        </w:rPr>
      </w:pPr>
      <w:r w:rsidRPr="00504456">
        <w:rPr>
          <w:rFonts w:ascii="Arial" w:hAnsi="Arial" w:cs="Arial"/>
          <w:color w:val="000000"/>
          <w:sz w:val="24"/>
          <w:szCs w:val="24"/>
        </w:rPr>
        <w:t xml:space="preserve">require </w:t>
      </w:r>
      <w:r w:rsidR="00A14868" w:rsidRPr="00504456">
        <w:rPr>
          <w:rFonts w:ascii="Arial" w:hAnsi="Arial" w:cs="Arial"/>
          <w:color w:val="000000"/>
          <w:sz w:val="24"/>
          <w:szCs w:val="24"/>
        </w:rPr>
        <w:t>that gaming premises provide a full range of facilities and services to members and patrons</w:t>
      </w:r>
      <w:r w:rsidR="008E6E6E" w:rsidRPr="00504456">
        <w:rPr>
          <w:rFonts w:ascii="Arial" w:hAnsi="Arial" w:cs="Arial"/>
          <w:color w:val="000000"/>
          <w:sz w:val="24"/>
          <w:szCs w:val="24"/>
        </w:rPr>
        <w:t xml:space="preserve"> as a condition of their planning permit </w:t>
      </w:r>
    </w:p>
    <w:p w:rsidR="00A14868" w:rsidRPr="00504456" w:rsidRDefault="005E4597" w:rsidP="00036CC5">
      <w:pPr>
        <w:pStyle w:val="ListParagraph"/>
        <w:numPr>
          <w:ilvl w:val="0"/>
          <w:numId w:val="27"/>
        </w:numPr>
        <w:spacing w:after="120" w:line="240" w:lineRule="auto"/>
        <w:contextualSpacing w:val="0"/>
        <w:rPr>
          <w:rFonts w:ascii="Arial" w:hAnsi="Arial" w:cs="Arial"/>
          <w:color w:val="000000"/>
          <w:sz w:val="24"/>
          <w:szCs w:val="24"/>
        </w:rPr>
      </w:pPr>
      <w:r w:rsidRPr="00504456">
        <w:rPr>
          <w:rFonts w:ascii="Arial" w:hAnsi="Arial" w:cs="Arial"/>
          <w:color w:val="000000"/>
          <w:sz w:val="24"/>
          <w:szCs w:val="24"/>
        </w:rPr>
        <w:t>protect t</w:t>
      </w:r>
      <w:r w:rsidR="00A14868" w:rsidRPr="00504456">
        <w:rPr>
          <w:rFonts w:ascii="Arial" w:hAnsi="Arial" w:cs="Arial"/>
          <w:color w:val="000000"/>
          <w:sz w:val="24"/>
          <w:szCs w:val="24"/>
        </w:rPr>
        <w:t>he character and amenity of Council-owned or managed land (including reserves an</w:t>
      </w:r>
      <w:r w:rsidR="00D512E2" w:rsidRPr="00504456">
        <w:rPr>
          <w:rFonts w:ascii="Arial" w:hAnsi="Arial" w:cs="Arial"/>
          <w:color w:val="000000"/>
          <w:sz w:val="24"/>
          <w:szCs w:val="24"/>
        </w:rPr>
        <w:t xml:space="preserve">d sporting venues) from </w:t>
      </w:r>
      <w:proofErr w:type="spellStart"/>
      <w:r w:rsidR="00A14868" w:rsidRPr="00504456">
        <w:rPr>
          <w:rFonts w:ascii="Arial" w:hAnsi="Arial" w:cs="Arial"/>
          <w:color w:val="000000"/>
          <w:sz w:val="24"/>
          <w:szCs w:val="24"/>
        </w:rPr>
        <w:t>commercialisation</w:t>
      </w:r>
      <w:proofErr w:type="spellEnd"/>
      <w:r w:rsidR="00A14868" w:rsidRPr="00504456">
        <w:rPr>
          <w:rFonts w:ascii="Arial" w:hAnsi="Arial" w:cs="Arial"/>
          <w:color w:val="000000"/>
          <w:sz w:val="24"/>
          <w:szCs w:val="24"/>
        </w:rPr>
        <w:t xml:space="preserve"> </w:t>
      </w:r>
      <w:r w:rsidR="009A79FE" w:rsidRPr="00504456">
        <w:rPr>
          <w:rFonts w:ascii="Arial" w:hAnsi="Arial" w:cs="Arial"/>
          <w:color w:val="000000"/>
          <w:sz w:val="24"/>
          <w:szCs w:val="24"/>
        </w:rPr>
        <w:t xml:space="preserve">in relation to gaming </w:t>
      </w:r>
      <w:r w:rsidR="008E6E6E" w:rsidRPr="00504456">
        <w:rPr>
          <w:rFonts w:ascii="Arial" w:hAnsi="Arial" w:cs="Arial"/>
          <w:color w:val="000000"/>
          <w:sz w:val="24"/>
          <w:szCs w:val="24"/>
        </w:rPr>
        <w:t xml:space="preserve">by not supporting </w:t>
      </w:r>
      <w:r w:rsidR="008E6E6E" w:rsidRPr="00504456">
        <w:rPr>
          <w:rFonts w:ascii="Arial" w:hAnsi="Arial" w:cs="Arial"/>
          <w:bCs/>
          <w:color w:val="000000"/>
          <w:sz w:val="24"/>
          <w:szCs w:val="24"/>
          <w:lang w:val="en-AU"/>
        </w:rPr>
        <w:t xml:space="preserve">any gaming licence or planning permit applications on this land </w:t>
      </w:r>
    </w:p>
    <w:p w:rsidR="00A14868" w:rsidRPr="00504456" w:rsidRDefault="00EF7DFA" w:rsidP="00036CC5">
      <w:pPr>
        <w:pStyle w:val="ListParagraph"/>
        <w:numPr>
          <w:ilvl w:val="0"/>
          <w:numId w:val="27"/>
        </w:numPr>
        <w:spacing w:after="120" w:line="240" w:lineRule="auto"/>
        <w:contextualSpacing w:val="0"/>
        <w:rPr>
          <w:rFonts w:ascii="Arial" w:hAnsi="Arial" w:cs="Arial"/>
          <w:color w:val="000000"/>
          <w:sz w:val="24"/>
          <w:szCs w:val="24"/>
        </w:rPr>
      </w:pPr>
      <w:r w:rsidRPr="00504456">
        <w:rPr>
          <w:rFonts w:ascii="Arial" w:hAnsi="Arial" w:cs="Arial"/>
          <w:color w:val="000000"/>
          <w:sz w:val="24"/>
          <w:szCs w:val="24"/>
        </w:rPr>
        <w:t xml:space="preserve">remain an active advocate for responsible gambling reform on all forms of gambling, with a focus on </w:t>
      </w:r>
      <w:proofErr w:type="spellStart"/>
      <w:r w:rsidRPr="00504456">
        <w:rPr>
          <w:rFonts w:ascii="Arial" w:hAnsi="Arial" w:cs="Arial"/>
          <w:color w:val="000000"/>
          <w:sz w:val="24"/>
          <w:szCs w:val="24"/>
        </w:rPr>
        <w:t>EGM</w:t>
      </w:r>
      <w:proofErr w:type="spellEnd"/>
      <w:r w:rsidRPr="00504456">
        <w:rPr>
          <w:rFonts w:ascii="Arial" w:hAnsi="Arial" w:cs="Arial"/>
          <w:color w:val="000000"/>
          <w:sz w:val="24"/>
          <w:szCs w:val="24"/>
        </w:rPr>
        <w:t xml:space="preserve"> gambling</w:t>
      </w:r>
    </w:p>
    <w:p w:rsidR="00A14868" w:rsidRPr="00504456" w:rsidRDefault="00A14868" w:rsidP="00036CC5">
      <w:pPr>
        <w:pStyle w:val="ListParagraph"/>
        <w:numPr>
          <w:ilvl w:val="0"/>
          <w:numId w:val="27"/>
        </w:numPr>
        <w:spacing w:after="120" w:line="240" w:lineRule="auto"/>
        <w:contextualSpacing w:val="0"/>
        <w:rPr>
          <w:rFonts w:ascii="Arial" w:hAnsi="Arial" w:cs="Arial"/>
          <w:color w:val="000000"/>
          <w:sz w:val="24"/>
          <w:szCs w:val="24"/>
        </w:rPr>
      </w:pPr>
      <w:r w:rsidRPr="00504456">
        <w:rPr>
          <w:rFonts w:ascii="Arial" w:hAnsi="Arial" w:cs="Arial"/>
          <w:color w:val="000000"/>
          <w:sz w:val="24"/>
          <w:szCs w:val="24"/>
        </w:rPr>
        <w:t xml:space="preserve">partner with other stakeholders to </w:t>
      </w:r>
      <w:proofErr w:type="spellStart"/>
      <w:r w:rsidRPr="00504456">
        <w:rPr>
          <w:rFonts w:ascii="Arial" w:hAnsi="Arial" w:cs="Arial"/>
          <w:color w:val="000000"/>
          <w:sz w:val="24"/>
          <w:szCs w:val="24"/>
        </w:rPr>
        <w:t>minimise</w:t>
      </w:r>
      <w:proofErr w:type="spellEnd"/>
      <w:r w:rsidRPr="00504456">
        <w:rPr>
          <w:rFonts w:ascii="Arial" w:hAnsi="Arial" w:cs="Arial"/>
          <w:color w:val="000000"/>
          <w:sz w:val="24"/>
          <w:szCs w:val="24"/>
        </w:rPr>
        <w:t xml:space="preserve"> gambling related harm and the incidence of problem gambling</w:t>
      </w:r>
    </w:p>
    <w:p w:rsidR="00A14868" w:rsidRPr="00504456" w:rsidRDefault="00D273C4" w:rsidP="00036CC5">
      <w:pPr>
        <w:pStyle w:val="ListParagraph"/>
        <w:numPr>
          <w:ilvl w:val="0"/>
          <w:numId w:val="27"/>
        </w:numPr>
        <w:spacing w:after="120" w:line="240" w:lineRule="auto"/>
        <w:contextualSpacing w:val="0"/>
        <w:rPr>
          <w:rFonts w:ascii="Arial" w:hAnsi="Arial" w:cs="Arial"/>
          <w:color w:val="000000"/>
          <w:sz w:val="24"/>
          <w:szCs w:val="24"/>
        </w:rPr>
      </w:pPr>
      <w:r w:rsidRPr="00504456">
        <w:rPr>
          <w:rFonts w:ascii="Arial" w:hAnsi="Arial" w:cs="Arial"/>
          <w:color w:val="000000"/>
          <w:sz w:val="24"/>
          <w:szCs w:val="24"/>
          <w:lang w:val="en-AU"/>
        </w:rPr>
        <w:t xml:space="preserve">assist </w:t>
      </w:r>
      <w:r w:rsidR="00A14868" w:rsidRPr="00504456">
        <w:rPr>
          <w:rFonts w:ascii="Arial" w:hAnsi="Arial" w:cs="Arial"/>
          <w:color w:val="000000"/>
          <w:sz w:val="24"/>
          <w:szCs w:val="24"/>
          <w:lang w:val="en-AU"/>
        </w:rPr>
        <w:t>the community to make informed choices by raising awareness about the risks of gambling, support services available and alternative social, cultural and recreation opportunities</w:t>
      </w:r>
    </w:p>
    <w:p w:rsidR="00A14868" w:rsidRPr="00504456" w:rsidRDefault="00A14868" w:rsidP="00036CC5">
      <w:pPr>
        <w:pStyle w:val="ListParagraph"/>
        <w:numPr>
          <w:ilvl w:val="0"/>
          <w:numId w:val="27"/>
        </w:numPr>
        <w:spacing w:after="120" w:line="240" w:lineRule="auto"/>
        <w:contextualSpacing w:val="0"/>
        <w:rPr>
          <w:rFonts w:ascii="Arial" w:hAnsi="Arial" w:cs="Arial"/>
          <w:color w:val="000000"/>
          <w:sz w:val="24"/>
          <w:szCs w:val="24"/>
        </w:rPr>
      </w:pPr>
      <w:proofErr w:type="gramStart"/>
      <w:r w:rsidRPr="00504456">
        <w:rPr>
          <w:rFonts w:ascii="Arial" w:hAnsi="Arial" w:cs="Arial"/>
          <w:color w:val="000000"/>
          <w:sz w:val="24"/>
          <w:szCs w:val="24"/>
          <w:lang w:val="en-AU"/>
        </w:rPr>
        <w:t>recognise</w:t>
      </w:r>
      <w:proofErr w:type="gramEnd"/>
      <w:r w:rsidRPr="00504456">
        <w:rPr>
          <w:rFonts w:ascii="Arial" w:hAnsi="Arial" w:cs="Arial"/>
          <w:color w:val="000000"/>
          <w:sz w:val="24"/>
          <w:szCs w:val="24"/>
          <w:lang w:val="en-AU"/>
        </w:rPr>
        <w:t xml:space="preserve"> the importance of independent research and education into problem gambling</w:t>
      </w:r>
      <w:r w:rsidR="00D273C4" w:rsidRPr="00504456">
        <w:rPr>
          <w:rFonts w:ascii="Arial" w:hAnsi="Arial" w:cs="Arial"/>
          <w:color w:val="000000"/>
          <w:sz w:val="24"/>
          <w:szCs w:val="24"/>
          <w:lang w:val="en-AU"/>
        </w:rPr>
        <w:t xml:space="preserve"> </w:t>
      </w:r>
      <w:r w:rsidR="002A7B63" w:rsidRPr="00504456">
        <w:rPr>
          <w:rFonts w:ascii="Arial" w:hAnsi="Arial" w:cs="Arial"/>
          <w:color w:val="000000"/>
          <w:sz w:val="24"/>
          <w:szCs w:val="24"/>
          <w:lang w:val="en-AU"/>
        </w:rPr>
        <w:t>to enhance Council's knowledge of the impacts of gambling</w:t>
      </w:r>
      <w:r w:rsidRPr="00504456">
        <w:rPr>
          <w:rFonts w:ascii="Arial" w:hAnsi="Arial" w:cs="Arial"/>
          <w:color w:val="000000"/>
          <w:sz w:val="24"/>
          <w:szCs w:val="24"/>
          <w:lang w:val="en-AU"/>
        </w:rPr>
        <w:t>.</w:t>
      </w:r>
    </w:p>
    <w:p w:rsidR="009161A2" w:rsidRPr="00504456" w:rsidRDefault="009161A2" w:rsidP="009161A2">
      <w:pPr>
        <w:pStyle w:val="ListParagraph"/>
        <w:spacing w:after="120" w:line="240" w:lineRule="auto"/>
        <w:contextualSpacing w:val="0"/>
        <w:rPr>
          <w:rFonts w:ascii="Arial" w:hAnsi="Arial" w:cs="Arial"/>
          <w:color w:val="000000"/>
          <w:sz w:val="24"/>
          <w:szCs w:val="24"/>
        </w:rPr>
      </w:pPr>
    </w:p>
    <w:p w:rsidR="00A14868" w:rsidRPr="00504456" w:rsidRDefault="00A14868" w:rsidP="00A14868">
      <w:pPr>
        <w:pStyle w:val="Heading2"/>
        <w:spacing w:before="0"/>
      </w:pPr>
      <w:bookmarkStart w:id="134" w:name="_Toc372787038"/>
      <w:r w:rsidRPr="00504456">
        <w:t>Strategies</w:t>
      </w:r>
      <w:bookmarkEnd w:id="134"/>
    </w:p>
    <w:p w:rsidR="00323F67" w:rsidRDefault="00A14868" w:rsidP="00323F67">
      <w:pPr>
        <w:rPr>
          <w:rFonts w:ascii="Arial" w:hAnsi="Arial" w:cs="Arial"/>
        </w:rPr>
      </w:pPr>
      <w:r w:rsidRPr="00504456">
        <w:rPr>
          <w:rFonts w:ascii="Arial" w:hAnsi="Arial" w:cs="Arial"/>
        </w:rPr>
        <w:t xml:space="preserve">The nine objectives of this policy will be achieved through implementation of the </w:t>
      </w:r>
      <w:r w:rsidR="005E4597" w:rsidRPr="00504456">
        <w:rPr>
          <w:rFonts w:ascii="Arial" w:hAnsi="Arial" w:cs="Arial"/>
        </w:rPr>
        <w:t>2</w:t>
      </w:r>
      <w:r w:rsidR="00972846">
        <w:rPr>
          <w:rFonts w:ascii="Arial" w:hAnsi="Arial" w:cs="Arial"/>
        </w:rPr>
        <w:t>4</w:t>
      </w:r>
      <w:r w:rsidRPr="00504456">
        <w:rPr>
          <w:rFonts w:ascii="Arial" w:hAnsi="Arial" w:cs="Arial"/>
        </w:rPr>
        <w:t xml:space="preserve"> strategies noted in </w:t>
      </w:r>
      <w:r w:rsidR="002D1121" w:rsidRPr="00504456">
        <w:rPr>
          <w:rFonts w:ascii="Arial" w:hAnsi="Arial" w:cs="Arial"/>
        </w:rPr>
        <w:t>t</w:t>
      </w:r>
      <w:r w:rsidR="00CC4768" w:rsidRPr="00504456">
        <w:rPr>
          <w:rFonts w:ascii="Arial" w:hAnsi="Arial" w:cs="Arial"/>
        </w:rPr>
        <w:t>able 1 on the following page</w:t>
      </w:r>
      <w:r w:rsidRPr="00504456">
        <w:rPr>
          <w:rFonts w:ascii="Arial" w:hAnsi="Arial" w:cs="Arial"/>
        </w:rPr>
        <w:t xml:space="preserve">. </w:t>
      </w:r>
    </w:p>
    <w:p w:rsidR="00D16035" w:rsidRDefault="00D16035" w:rsidP="00323F67">
      <w:pPr>
        <w:rPr>
          <w:rFonts w:ascii="Arial" w:hAnsi="Arial" w:cs="Arial"/>
        </w:rPr>
      </w:pPr>
    </w:p>
    <w:p w:rsidR="00D16035" w:rsidRDefault="00D16035" w:rsidP="00323F67">
      <w:pPr>
        <w:rPr>
          <w:rFonts w:ascii="Arial" w:hAnsi="Arial" w:cs="Arial"/>
        </w:rPr>
      </w:pPr>
    </w:p>
    <w:p w:rsidR="00D16035" w:rsidRDefault="00D16035" w:rsidP="00323F67">
      <w:pPr>
        <w:rPr>
          <w:rFonts w:ascii="Arial" w:hAnsi="Arial" w:cs="Arial"/>
        </w:rPr>
      </w:pPr>
    </w:p>
    <w:p w:rsidR="00D16035" w:rsidRPr="00504456" w:rsidRDefault="00D16035" w:rsidP="00323F67">
      <w:pPr>
        <w:rPr>
          <w:rFonts w:ascii="Arial" w:hAnsi="Arial" w:cs="Arial"/>
        </w:rPr>
      </w:pPr>
    </w:p>
    <w:p w:rsidR="00A14868" w:rsidRPr="00504456" w:rsidRDefault="00A14868" w:rsidP="00323F67">
      <w:pPr>
        <w:rPr>
          <w:rFonts w:ascii="Arial" w:hAnsi="Arial" w:cs="Arial"/>
        </w:rPr>
      </w:pPr>
      <w:r w:rsidRPr="00504456">
        <w:rPr>
          <w:rFonts w:ascii="Arial" w:hAnsi="Arial" w:cs="Arial"/>
          <w:b/>
        </w:rPr>
        <w:lastRenderedPageBreak/>
        <w:t xml:space="preserve">Table 1: </w:t>
      </w:r>
      <w:r w:rsidRPr="00504456">
        <w:rPr>
          <w:rFonts w:ascii="Arial" w:hAnsi="Arial" w:cs="Arial"/>
        </w:rPr>
        <w:t>Strategies to achieve the goals and objectives of the Responsible Gambling Policy 2013-1</w:t>
      </w:r>
      <w:r w:rsidR="00A547D1" w:rsidRPr="00504456">
        <w:rPr>
          <w:rFonts w:ascii="Arial" w:hAnsi="Arial" w:cs="Arial"/>
        </w:rPr>
        <w:t>8</w:t>
      </w:r>
      <w:r w:rsidRPr="00504456">
        <w:rPr>
          <w:rFonts w:ascii="Arial" w:hAnsi="Arial" w:cs="Arial"/>
        </w:rPr>
        <w:t xml:space="preserve"> </w:t>
      </w:r>
    </w:p>
    <w:tbl>
      <w:tblPr>
        <w:tblW w:w="9889" w:type="dxa"/>
        <w:tblBorders>
          <w:top w:val="single" w:sz="8" w:space="0" w:color="9BBB59"/>
          <w:left w:val="single" w:sz="8" w:space="0" w:color="9BBB59"/>
          <w:bottom w:val="single" w:sz="8" w:space="0" w:color="9BBB59"/>
          <w:right w:val="single" w:sz="8" w:space="0" w:color="9BBB59"/>
        </w:tblBorders>
        <w:tblLayout w:type="fixed"/>
        <w:tblLook w:val="01A0" w:firstRow="1" w:lastRow="0" w:firstColumn="1" w:lastColumn="1" w:noHBand="0" w:noVBand="0"/>
      </w:tblPr>
      <w:tblGrid>
        <w:gridCol w:w="2802"/>
        <w:gridCol w:w="7087"/>
      </w:tblGrid>
      <w:tr w:rsidR="00A14868" w:rsidRPr="00504456" w:rsidTr="00F03287">
        <w:trPr>
          <w:cantSplit/>
          <w:tblHeader/>
        </w:trPr>
        <w:tc>
          <w:tcPr>
            <w:tcW w:w="2802" w:type="dxa"/>
            <w:tcBorders>
              <w:bottom w:val="single" w:sz="8" w:space="0" w:color="9BBB59"/>
            </w:tcBorders>
            <w:shd w:val="clear" w:color="auto" w:fill="9BBB59"/>
          </w:tcPr>
          <w:p w:rsidR="00A14868" w:rsidRPr="00504456" w:rsidRDefault="00A14868" w:rsidP="00F03287">
            <w:pPr>
              <w:tabs>
                <w:tab w:val="center" w:pos="4320"/>
                <w:tab w:val="right" w:pos="8640"/>
              </w:tabs>
              <w:jc w:val="center"/>
              <w:rPr>
                <w:rStyle w:val="Bold"/>
                <w:rFonts w:ascii="Arial" w:eastAsia="Calibri" w:hAnsi="Arial" w:cs="Arial"/>
                <w:bCs/>
                <w:color w:val="000000"/>
              </w:rPr>
            </w:pPr>
            <w:r w:rsidRPr="00504456">
              <w:rPr>
                <w:rStyle w:val="Bold"/>
                <w:rFonts w:ascii="Arial" w:eastAsia="Calibri" w:hAnsi="Arial" w:cs="Arial"/>
                <w:bCs/>
                <w:color w:val="000000"/>
              </w:rPr>
              <w:t>Council's role</w:t>
            </w:r>
          </w:p>
        </w:tc>
        <w:tc>
          <w:tcPr>
            <w:tcW w:w="7087" w:type="dxa"/>
            <w:tcBorders>
              <w:bottom w:val="single" w:sz="8" w:space="0" w:color="9BBB59"/>
            </w:tcBorders>
            <w:shd w:val="clear" w:color="auto" w:fill="9BBB59"/>
          </w:tcPr>
          <w:p w:rsidR="00A14868" w:rsidRPr="00504456" w:rsidRDefault="00A14868" w:rsidP="00F03287">
            <w:pPr>
              <w:tabs>
                <w:tab w:val="center" w:pos="4320"/>
                <w:tab w:val="right" w:pos="8640"/>
              </w:tabs>
              <w:jc w:val="center"/>
              <w:rPr>
                <w:rStyle w:val="Bold"/>
                <w:rFonts w:ascii="Arial" w:eastAsia="Calibri" w:hAnsi="Arial" w:cs="Arial"/>
                <w:bCs/>
                <w:color w:val="000000"/>
              </w:rPr>
            </w:pPr>
            <w:r w:rsidRPr="00504456">
              <w:rPr>
                <w:rStyle w:val="Bold"/>
                <w:rFonts w:ascii="Arial" w:eastAsia="Calibri" w:hAnsi="Arial" w:cs="Arial"/>
                <w:bCs/>
                <w:color w:val="000000"/>
              </w:rPr>
              <w:t>Strategies</w:t>
            </w:r>
          </w:p>
        </w:tc>
      </w:tr>
      <w:tr w:rsidR="00A14868" w:rsidRPr="00504456" w:rsidTr="00F03287">
        <w:trPr>
          <w:cantSplit/>
        </w:trPr>
        <w:tc>
          <w:tcPr>
            <w:tcW w:w="2802" w:type="dxa"/>
            <w:tcBorders>
              <w:top w:val="single" w:sz="8" w:space="0" w:color="9BBB59"/>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Land owner</w:t>
            </w: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not support any </w:t>
            </w:r>
            <w:r w:rsidR="00056153" w:rsidRPr="00504456">
              <w:rPr>
                <w:rFonts w:ascii="Arial" w:hAnsi="Arial" w:cs="Arial"/>
                <w:bCs/>
                <w:color w:val="000000"/>
                <w:sz w:val="24"/>
                <w:szCs w:val="24"/>
                <w:lang w:val="en-AU"/>
              </w:rPr>
              <w:t xml:space="preserve">gaming </w:t>
            </w:r>
            <w:r w:rsidR="00AE73E9" w:rsidRPr="00504456">
              <w:rPr>
                <w:rFonts w:ascii="Arial" w:hAnsi="Arial" w:cs="Arial"/>
                <w:bCs/>
                <w:color w:val="000000"/>
                <w:sz w:val="24"/>
                <w:szCs w:val="24"/>
                <w:lang w:val="en-AU"/>
              </w:rPr>
              <w:t xml:space="preserve">licence </w:t>
            </w:r>
            <w:r w:rsidR="00056153" w:rsidRPr="00504456">
              <w:rPr>
                <w:rFonts w:ascii="Arial" w:hAnsi="Arial" w:cs="Arial"/>
                <w:bCs/>
                <w:color w:val="000000"/>
                <w:sz w:val="24"/>
                <w:szCs w:val="24"/>
                <w:lang w:val="en-AU"/>
              </w:rPr>
              <w:t>or planning</w:t>
            </w:r>
            <w:r w:rsidR="00AE73E9" w:rsidRPr="00504456">
              <w:rPr>
                <w:rFonts w:ascii="Arial" w:hAnsi="Arial" w:cs="Arial"/>
                <w:bCs/>
                <w:color w:val="000000"/>
                <w:sz w:val="24"/>
                <w:szCs w:val="24"/>
                <w:lang w:val="en-AU"/>
              </w:rPr>
              <w:t xml:space="preserve"> permit</w:t>
            </w:r>
            <w:r w:rsidR="00056153" w:rsidRPr="00504456">
              <w:rPr>
                <w:rFonts w:ascii="Arial" w:hAnsi="Arial" w:cs="Arial"/>
                <w:bCs/>
                <w:color w:val="000000"/>
                <w:sz w:val="24"/>
                <w:szCs w:val="24"/>
                <w:lang w:val="en-AU"/>
              </w:rPr>
              <w:t xml:space="preserve"> </w:t>
            </w:r>
            <w:r w:rsidR="00AE73E9" w:rsidRPr="00504456">
              <w:rPr>
                <w:rFonts w:ascii="Arial" w:hAnsi="Arial" w:cs="Arial"/>
                <w:bCs/>
                <w:color w:val="000000"/>
                <w:sz w:val="24"/>
                <w:szCs w:val="24"/>
                <w:lang w:val="en-AU"/>
              </w:rPr>
              <w:t>application</w:t>
            </w:r>
            <w:r w:rsidR="004E29E4" w:rsidRPr="00504456">
              <w:rPr>
                <w:rFonts w:ascii="Arial" w:hAnsi="Arial" w:cs="Arial"/>
                <w:bCs/>
                <w:color w:val="000000"/>
                <w:sz w:val="24"/>
                <w:szCs w:val="24"/>
                <w:lang w:val="en-AU"/>
              </w:rPr>
              <w:t>s</w:t>
            </w:r>
            <w:r w:rsidRPr="00504456">
              <w:rPr>
                <w:rFonts w:ascii="Arial" w:hAnsi="Arial" w:cs="Arial"/>
                <w:bCs/>
                <w:color w:val="000000"/>
                <w:sz w:val="24"/>
                <w:szCs w:val="24"/>
                <w:lang w:val="en-AU"/>
              </w:rPr>
              <w:t xml:space="preserve"> for </w:t>
            </w:r>
            <w:proofErr w:type="spellStart"/>
            <w:r w:rsidRPr="00504456">
              <w:rPr>
                <w:rFonts w:ascii="Arial" w:hAnsi="Arial" w:cs="Arial"/>
                <w:bCs/>
                <w:color w:val="000000"/>
                <w:sz w:val="24"/>
                <w:szCs w:val="24"/>
                <w:lang w:val="en-AU"/>
              </w:rPr>
              <w:t>EGMs</w:t>
            </w:r>
            <w:proofErr w:type="spellEnd"/>
            <w:r w:rsidRPr="00504456">
              <w:rPr>
                <w:rFonts w:ascii="Arial" w:hAnsi="Arial" w:cs="Arial"/>
                <w:bCs/>
                <w:color w:val="000000"/>
                <w:sz w:val="24"/>
                <w:szCs w:val="24"/>
                <w:lang w:val="en-AU"/>
              </w:rPr>
              <w:t xml:space="preserve"> on Council-owned or managed land nor derive direct income from </w:t>
            </w:r>
            <w:proofErr w:type="spellStart"/>
            <w:r w:rsidRPr="00504456">
              <w:rPr>
                <w:rFonts w:ascii="Arial" w:hAnsi="Arial" w:cs="Arial"/>
                <w:bCs/>
                <w:color w:val="000000"/>
                <w:sz w:val="24"/>
                <w:szCs w:val="24"/>
                <w:lang w:val="en-AU"/>
              </w:rPr>
              <w:t>EGMs</w:t>
            </w:r>
            <w:proofErr w:type="spellEnd"/>
            <w:r w:rsidRPr="00504456">
              <w:rPr>
                <w:rFonts w:ascii="Arial" w:hAnsi="Arial" w:cs="Arial"/>
                <w:bCs/>
                <w:color w:val="000000"/>
                <w:sz w:val="24"/>
                <w:szCs w:val="24"/>
                <w:lang w:val="en-AU"/>
              </w:rPr>
              <w:t>.</w:t>
            </w:r>
          </w:p>
        </w:tc>
      </w:tr>
      <w:tr w:rsidR="00A14868" w:rsidRPr="00504456" w:rsidTr="00F03287">
        <w:trPr>
          <w:cantSplit/>
        </w:trPr>
        <w:tc>
          <w:tcPr>
            <w:tcW w:w="2802" w:type="dxa"/>
            <w:vMerge w:val="restart"/>
            <w:tcBorders>
              <w:top w:val="single" w:sz="8" w:space="0" w:color="9BBB59"/>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Regulator and planner</w:t>
            </w: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undertake a social and economic impact assessment of </w:t>
            </w:r>
            <w:r w:rsidR="00056153" w:rsidRPr="00504456">
              <w:rPr>
                <w:rFonts w:ascii="Arial" w:hAnsi="Arial" w:cs="Arial"/>
                <w:bCs/>
                <w:color w:val="000000"/>
                <w:sz w:val="24"/>
                <w:szCs w:val="24"/>
                <w:lang w:val="en-AU"/>
              </w:rPr>
              <w:t>gaming</w:t>
            </w:r>
            <w:r w:rsidR="00AE73E9" w:rsidRPr="00504456">
              <w:rPr>
                <w:rFonts w:ascii="Arial" w:hAnsi="Arial" w:cs="Arial"/>
                <w:bCs/>
                <w:color w:val="000000"/>
                <w:sz w:val="24"/>
                <w:szCs w:val="24"/>
                <w:lang w:val="en-AU"/>
              </w:rPr>
              <w:t xml:space="preserve"> licence</w:t>
            </w:r>
            <w:r w:rsidR="00056153" w:rsidRPr="00504456">
              <w:rPr>
                <w:rFonts w:ascii="Arial" w:hAnsi="Arial" w:cs="Arial"/>
                <w:bCs/>
                <w:color w:val="000000"/>
                <w:sz w:val="24"/>
                <w:szCs w:val="24"/>
                <w:lang w:val="en-AU"/>
              </w:rPr>
              <w:t xml:space="preserve"> and planning </w:t>
            </w:r>
            <w:r w:rsidR="00AE73E9" w:rsidRPr="00504456">
              <w:rPr>
                <w:rFonts w:ascii="Arial" w:hAnsi="Arial" w:cs="Arial"/>
                <w:bCs/>
                <w:color w:val="000000"/>
                <w:sz w:val="24"/>
                <w:szCs w:val="24"/>
                <w:lang w:val="en-AU"/>
              </w:rPr>
              <w:t>permit applications</w:t>
            </w:r>
            <w:r w:rsidRPr="00504456">
              <w:rPr>
                <w:rFonts w:ascii="Arial" w:hAnsi="Arial" w:cs="Arial"/>
                <w:bCs/>
                <w:color w:val="000000"/>
                <w:sz w:val="24"/>
                <w:szCs w:val="24"/>
                <w:lang w:val="en-AU"/>
              </w:rPr>
              <w:t xml:space="preserve"> in the municipality.</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not support any planning </w:t>
            </w:r>
            <w:r w:rsidR="00AE73E9" w:rsidRPr="00504456">
              <w:rPr>
                <w:rFonts w:ascii="Arial" w:hAnsi="Arial" w:cs="Arial"/>
                <w:bCs/>
                <w:color w:val="000000"/>
                <w:sz w:val="24"/>
                <w:szCs w:val="24"/>
                <w:lang w:val="en-AU"/>
              </w:rPr>
              <w:t>permit application</w:t>
            </w:r>
            <w:r w:rsidRPr="00504456">
              <w:rPr>
                <w:rFonts w:ascii="Arial" w:hAnsi="Arial" w:cs="Arial"/>
                <w:bCs/>
                <w:color w:val="000000"/>
                <w:sz w:val="24"/>
                <w:szCs w:val="24"/>
                <w:lang w:val="en-AU"/>
              </w:rPr>
              <w:t xml:space="preserve"> that does not include the information requested for a social and economic impact assessment, as outlined in </w:t>
            </w:r>
            <w:r w:rsidR="00BF74CC" w:rsidRPr="00504456">
              <w:rPr>
                <w:rFonts w:ascii="Arial" w:hAnsi="Arial" w:cs="Arial"/>
                <w:bCs/>
                <w:sz w:val="24"/>
                <w:szCs w:val="24"/>
                <w:lang w:val="en-AU"/>
              </w:rPr>
              <w:t xml:space="preserve">table </w:t>
            </w:r>
            <w:r w:rsidR="005E4597" w:rsidRPr="00504456">
              <w:rPr>
                <w:rFonts w:ascii="Arial" w:hAnsi="Arial" w:cs="Arial"/>
                <w:bCs/>
                <w:sz w:val="24"/>
                <w:szCs w:val="24"/>
                <w:lang w:val="en-AU"/>
              </w:rPr>
              <w:t>2 on page 2</w:t>
            </w:r>
            <w:r w:rsidR="00B555E4" w:rsidRPr="00504456">
              <w:rPr>
                <w:rFonts w:ascii="Arial" w:hAnsi="Arial" w:cs="Arial"/>
                <w:bCs/>
                <w:sz w:val="24"/>
                <w:szCs w:val="24"/>
                <w:lang w:val="en-AU"/>
              </w:rPr>
              <w:t>2</w:t>
            </w:r>
            <w:r w:rsidR="00EE6C84" w:rsidRPr="00504456">
              <w:rPr>
                <w:rFonts w:ascii="Arial" w:hAnsi="Arial" w:cs="Arial"/>
                <w:bCs/>
                <w:sz w:val="24"/>
                <w:szCs w:val="24"/>
                <w:lang w:val="en-AU"/>
              </w:rPr>
              <w:t>.</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Where Council considers that a</w:t>
            </w:r>
            <w:r w:rsidR="009A39C6" w:rsidRPr="00504456">
              <w:rPr>
                <w:rFonts w:ascii="Arial" w:hAnsi="Arial" w:cs="Arial"/>
                <w:bCs/>
                <w:color w:val="000000"/>
                <w:sz w:val="24"/>
                <w:szCs w:val="24"/>
                <w:lang w:val="en-AU"/>
              </w:rPr>
              <w:t xml:space="preserve"> gaming</w:t>
            </w:r>
            <w:r w:rsidR="00AE73E9" w:rsidRPr="00504456">
              <w:rPr>
                <w:rFonts w:ascii="Arial" w:hAnsi="Arial" w:cs="Arial"/>
                <w:bCs/>
                <w:color w:val="000000"/>
                <w:sz w:val="24"/>
                <w:szCs w:val="24"/>
                <w:lang w:val="en-AU"/>
              </w:rPr>
              <w:t xml:space="preserve"> licence application</w:t>
            </w:r>
            <w:r w:rsidRPr="00504456">
              <w:rPr>
                <w:rFonts w:ascii="Arial" w:hAnsi="Arial" w:cs="Arial"/>
                <w:bCs/>
                <w:color w:val="000000"/>
                <w:sz w:val="24"/>
                <w:szCs w:val="24"/>
                <w:lang w:val="en-AU"/>
              </w:rPr>
              <w:t xml:space="preserve"> </w:t>
            </w:r>
            <w:r w:rsidR="009A39C6" w:rsidRPr="00504456">
              <w:rPr>
                <w:rFonts w:ascii="Arial" w:hAnsi="Arial" w:cs="Arial"/>
                <w:bCs/>
                <w:color w:val="000000"/>
                <w:sz w:val="24"/>
                <w:szCs w:val="24"/>
                <w:lang w:val="en-AU"/>
              </w:rPr>
              <w:t xml:space="preserve">to the </w:t>
            </w:r>
            <w:proofErr w:type="spellStart"/>
            <w:r w:rsidR="009A39C6" w:rsidRPr="00504456">
              <w:rPr>
                <w:rFonts w:ascii="Arial" w:hAnsi="Arial" w:cs="Arial"/>
                <w:bCs/>
                <w:color w:val="000000"/>
                <w:sz w:val="24"/>
                <w:szCs w:val="24"/>
                <w:lang w:val="en-AU"/>
              </w:rPr>
              <w:t>VCGLR</w:t>
            </w:r>
            <w:proofErr w:type="spellEnd"/>
            <w:r w:rsidR="009A39C6" w:rsidRPr="00504456">
              <w:rPr>
                <w:rFonts w:ascii="Arial" w:hAnsi="Arial" w:cs="Arial"/>
                <w:bCs/>
                <w:color w:val="000000"/>
                <w:sz w:val="24"/>
                <w:szCs w:val="24"/>
                <w:lang w:val="en-AU"/>
              </w:rPr>
              <w:t xml:space="preserve"> </w:t>
            </w:r>
            <w:r w:rsidRPr="00504456">
              <w:rPr>
                <w:rFonts w:ascii="Arial" w:hAnsi="Arial" w:cs="Arial"/>
                <w:bCs/>
                <w:color w:val="000000"/>
                <w:sz w:val="24"/>
                <w:szCs w:val="24"/>
                <w:lang w:val="en-AU"/>
              </w:rPr>
              <w:t xml:space="preserve">will be detrimental to the economic and social wellbeing of the community, </w:t>
            </w:r>
            <w:r w:rsidR="00723406" w:rsidRPr="00504456">
              <w:rPr>
                <w:rFonts w:ascii="Arial" w:hAnsi="Arial" w:cs="Arial"/>
                <w:bCs/>
                <w:color w:val="000000"/>
                <w:sz w:val="24"/>
                <w:szCs w:val="24"/>
                <w:lang w:val="en-AU"/>
              </w:rPr>
              <w:t xml:space="preserve">Council will </w:t>
            </w:r>
            <w:r w:rsidR="008F08DE" w:rsidRPr="00504456">
              <w:rPr>
                <w:rFonts w:ascii="Arial" w:hAnsi="Arial" w:cs="Arial"/>
                <w:bCs/>
                <w:color w:val="000000"/>
                <w:sz w:val="24"/>
                <w:szCs w:val="24"/>
                <w:lang w:val="en-AU"/>
              </w:rPr>
              <w:t xml:space="preserve">either </w:t>
            </w:r>
            <w:r w:rsidR="00672C30" w:rsidRPr="00504456">
              <w:rPr>
                <w:rFonts w:ascii="Arial" w:hAnsi="Arial" w:cs="Arial"/>
                <w:bCs/>
                <w:color w:val="000000"/>
                <w:sz w:val="24"/>
                <w:szCs w:val="24"/>
                <w:lang w:val="en-AU"/>
              </w:rPr>
              <w:t>submit</w:t>
            </w:r>
            <w:r w:rsidR="00723406" w:rsidRPr="00504456">
              <w:rPr>
                <w:rFonts w:ascii="Arial" w:hAnsi="Arial" w:cs="Arial"/>
                <w:bCs/>
                <w:color w:val="000000"/>
                <w:sz w:val="24"/>
                <w:szCs w:val="24"/>
                <w:lang w:val="en-AU"/>
              </w:rPr>
              <w:t xml:space="preserve"> a social and economic impact assessment</w:t>
            </w:r>
            <w:r w:rsidR="008F08DE" w:rsidRPr="00504456">
              <w:rPr>
                <w:rFonts w:ascii="Arial" w:hAnsi="Arial" w:cs="Arial"/>
                <w:bCs/>
                <w:color w:val="000000"/>
                <w:sz w:val="24"/>
                <w:szCs w:val="24"/>
                <w:lang w:val="en-AU"/>
              </w:rPr>
              <w:t xml:space="preserve"> or a letter of objection</w:t>
            </w:r>
            <w:r w:rsidR="00672C30" w:rsidRPr="00504456">
              <w:rPr>
                <w:rFonts w:ascii="Arial" w:hAnsi="Arial" w:cs="Arial"/>
                <w:bCs/>
                <w:color w:val="000000"/>
                <w:sz w:val="24"/>
                <w:szCs w:val="24"/>
                <w:lang w:val="en-AU"/>
              </w:rPr>
              <w:t xml:space="preserve"> to the </w:t>
            </w:r>
            <w:proofErr w:type="spellStart"/>
            <w:r w:rsidR="00672C30" w:rsidRPr="00504456">
              <w:rPr>
                <w:rFonts w:ascii="Arial" w:hAnsi="Arial" w:cs="Arial"/>
                <w:bCs/>
                <w:color w:val="000000"/>
                <w:sz w:val="24"/>
                <w:szCs w:val="24"/>
                <w:lang w:val="en-AU"/>
              </w:rPr>
              <w:t>VCGLR</w:t>
            </w:r>
            <w:proofErr w:type="spellEnd"/>
            <w:r w:rsidR="00723406" w:rsidRPr="00504456">
              <w:rPr>
                <w:rFonts w:ascii="Arial" w:hAnsi="Arial" w:cs="Arial"/>
                <w:bCs/>
                <w:color w:val="000000"/>
                <w:sz w:val="24"/>
                <w:szCs w:val="24"/>
                <w:lang w:val="en-AU"/>
              </w:rPr>
              <w:t xml:space="preserve">. </w:t>
            </w:r>
          </w:p>
        </w:tc>
      </w:tr>
      <w:tr w:rsidR="00871CFB" w:rsidRPr="00504456" w:rsidTr="00F03287">
        <w:trPr>
          <w:cantSplit/>
        </w:trPr>
        <w:tc>
          <w:tcPr>
            <w:tcW w:w="2802" w:type="dxa"/>
            <w:vMerge/>
            <w:tcBorders>
              <w:left w:val="single" w:sz="8" w:space="0" w:color="9BBB59"/>
              <w:right w:val="single" w:sz="8" w:space="0" w:color="9BBB59"/>
            </w:tcBorders>
          </w:tcPr>
          <w:p w:rsidR="00871CFB" w:rsidRPr="00504456" w:rsidRDefault="00871CFB"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871CFB" w:rsidRPr="00504456" w:rsidRDefault="00871CFB"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If Council submits a social and economic impact assessment to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in response to a gaming licence application, Council </w:t>
            </w:r>
            <w:r w:rsidR="005F08CA" w:rsidRPr="00504456">
              <w:rPr>
                <w:rFonts w:ascii="Arial" w:hAnsi="Arial" w:cs="Arial"/>
                <w:bCs/>
                <w:color w:val="000000"/>
                <w:sz w:val="24"/>
                <w:szCs w:val="24"/>
                <w:lang w:val="en-AU"/>
              </w:rPr>
              <w:t xml:space="preserve">will </w:t>
            </w:r>
            <w:r w:rsidRPr="00504456">
              <w:rPr>
                <w:rFonts w:ascii="Arial" w:hAnsi="Arial" w:cs="Arial"/>
                <w:bCs/>
                <w:color w:val="000000"/>
                <w:sz w:val="24"/>
                <w:szCs w:val="24"/>
                <w:lang w:val="en-AU"/>
              </w:rPr>
              <w:t>decide if it present</w:t>
            </w:r>
            <w:r w:rsidR="005F08CA" w:rsidRPr="00504456">
              <w:rPr>
                <w:rFonts w:ascii="Arial" w:hAnsi="Arial" w:cs="Arial"/>
                <w:bCs/>
                <w:color w:val="000000"/>
                <w:sz w:val="24"/>
                <w:szCs w:val="24"/>
                <w:lang w:val="en-AU"/>
              </w:rPr>
              <w:t xml:space="preserve">s </w:t>
            </w:r>
            <w:r w:rsidRPr="00504456">
              <w:rPr>
                <w:rFonts w:ascii="Arial" w:hAnsi="Arial" w:cs="Arial"/>
                <w:bCs/>
                <w:color w:val="000000"/>
                <w:sz w:val="24"/>
                <w:szCs w:val="24"/>
                <w:lang w:val="en-AU"/>
              </w:rPr>
              <w:t xml:space="preserve">at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hearing </w:t>
            </w:r>
            <w:r w:rsidR="005F08CA" w:rsidRPr="00504456">
              <w:rPr>
                <w:rFonts w:ascii="Arial" w:hAnsi="Arial" w:cs="Arial"/>
                <w:bCs/>
                <w:color w:val="000000"/>
                <w:sz w:val="24"/>
                <w:szCs w:val="24"/>
                <w:lang w:val="en-AU"/>
              </w:rPr>
              <w:t xml:space="preserve">as well </w:t>
            </w:r>
            <w:r w:rsidRPr="00504456">
              <w:rPr>
                <w:rFonts w:ascii="Arial" w:hAnsi="Arial" w:cs="Arial"/>
                <w:bCs/>
                <w:color w:val="000000"/>
                <w:sz w:val="24"/>
                <w:szCs w:val="24"/>
                <w:lang w:val="en-AU"/>
              </w:rPr>
              <w:t xml:space="preserve">and will inform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of its decision.</w:t>
            </w:r>
          </w:p>
        </w:tc>
      </w:tr>
      <w:tr w:rsidR="008F08DE" w:rsidRPr="00504456" w:rsidTr="00F03287">
        <w:trPr>
          <w:cantSplit/>
        </w:trPr>
        <w:tc>
          <w:tcPr>
            <w:tcW w:w="2802" w:type="dxa"/>
            <w:vMerge/>
            <w:tcBorders>
              <w:left w:val="single" w:sz="8" w:space="0" w:color="9BBB59"/>
              <w:right w:val="single" w:sz="8" w:space="0" w:color="9BBB59"/>
            </w:tcBorders>
          </w:tcPr>
          <w:p w:rsidR="008F08DE" w:rsidRPr="00504456" w:rsidRDefault="008F08DE"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8F08DE" w:rsidRPr="00504456" w:rsidRDefault="008F08DE"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If Council is not submitting </w:t>
            </w:r>
            <w:r w:rsidR="003C25D0" w:rsidRPr="00504456">
              <w:rPr>
                <w:rFonts w:ascii="Arial" w:hAnsi="Arial" w:cs="Arial"/>
                <w:bCs/>
                <w:color w:val="000000"/>
                <w:sz w:val="24"/>
                <w:szCs w:val="24"/>
                <w:lang w:val="en-AU"/>
              </w:rPr>
              <w:t xml:space="preserve">a </w:t>
            </w:r>
            <w:r w:rsidRPr="00504456">
              <w:rPr>
                <w:rFonts w:ascii="Arial" w:hAnsi="Arial" w:cs="Arial"/>
                <w:bCs/>
                <w:color w:val="000000"/>
                <w:sz w:val="24"/>
                <w:szCs w:val="24"/>
                <w:lang w:val="en-AU"/>
              </w:rPr>
              <w:t xml:space="preserve">social and economic impact assessment in response to a gaming licence application, </w:t>
            </w:r>
            <w:r w:rsidR="00871CFB" w:rsidRPr="00504456">
              <w:rPr>
                <w:rFonts w:ascii="Arial" w:hAnsi="Arial" w:cs="Arial"/>
                <w:bCs/>
                <w:color w:val="000000"/>
                <w:sz w:val="24"/>
                <w:szCs w:val="24"/>
                <w:lang w:val="en-AU"/>
              </w:rPr>
              <w:t xml:space="preserve">it will </w:t>
            </w:r>
            <w:r w:rsidRPr="00504456">
              <w:rPr>
                <w:rFonts w:ascii="Arial" w:hAnsi="Arial" w:cs="Arial"/>
                <w:bCs/>
                <w:color w:val="000000"/>
                <w:sz w:val="24"/>
                <w:szCs w:val="24"/>
                <w:lang w:val="en-AU"/>
              </w:rPr>
              <w:t xml:space="preserve">inform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that a submission will not be prepared and that Council will not be represented at the hearing. Council may choose to send a letter to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noting possible concerns with the application.</w:t>
            </w:r>
          </w:p>
        </w:tc>
      </w:tr>
      <w:tr w:rsidR="008F08DE" w:rsidRPr="00504456" w:rsidTr="00F03287">
        <w:trPr>
          <w:cantSplit/>
        </w:trPr>
        <w:tc>
          <w:tcPr>
            <w:tcW w:w="2802" w:type="dxa"/>
            <w:vMerge/>
            <w:tcBorders>
              <w:left w:val="single" w:sz="8" w:space="0" w:color="9BBB59"/>
              <w:right w:val="single" w:sz="8" w:space="0" w:color="9BBB59"/>
            </w:tcBorders>
          </w:tcPr>
          <w:p w:rsidR="008F08DE" w:rsidRPr="00504456" w:rsidRDefault="008F08DE"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8F08DE" w:rsidRPr="00504456" w:rsidRDefault="008F08DE"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When required, Council will provide resources as appropriate to ensure suitable representation before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and VCAT for gaming licence applications</w:t>
            </w:r>
            <w:r w:rsidR="00A018F9" w:rsidRPr="00504456">
              <w:rPr>
                <w:rFonts w:ascii="Arial" w:hAnsi="Arial" w:cs="Arial"/>
                <w:bCs/>
                <w:color w:val="000000"/>
                <w:sz w:val="24"/>
                <w:szCs w:val="24"/>
                <w:lang w:val="en-AU"/>
              </w:rPr>
              <w:t xml:space="preserve"> </w:t>
            </w:r>
            <w:r w:rsidRPr="00504456">
              <w:rPr>
                <w:rFonts w:ascii="Arial" w:hAnsi="Arial" w:cs="Arial"/>
                <w:bCs/>
                <w:color w:val="000000"/>
                <w:sz w:val="24"/>
                <w:szCs w:val="24"/>
                <w:lang w:val="en-AU"/>
              </w:rPr>
              <w:t>(a</w:t>
            </w:r>
            <w:r w:rsidR="00A018F9" w:rsidRPr="00504456">
              <w:rPr>
                <w:rFonts w:ascii="Arial" w:hAnsi="Arial" w:cs="Arial"/>
                <w:bCs/>
                <w:color w:val="000000"/>
                <w:sz w:val="24"/>
                <w:szCs w:val="24"/>
                <w:lang w:val="en-AU"/>
              </w:rPr>
              <w:t>s the case may be)</w:t>
            </w:r>
            <w:r w:rsidRPr="00504456">
              <w:rPr>
                <w:rFonts w:ascii="Arial" w:hAnsi="Arial" w:cs="Arial"/>
                <w:bCs/>
                <w:color w:val="000000"/>
                <w:sz w:val="24"/>
                <w:szCs w:val="24"/>
                <w:lang w:val="en-AU"/>
              </w:rPr>
              <w:t>.</w:t>
            </w:r>
            <w:r w:rsidR="00E43565" w:rsidRPr="00504456">
              <w:rPr>
                <w:rFonts w:ascii="Arial" w:hAnsi="Arial" w:cs="Arial"/>
                <w:bCs/>
                <w:color w:val="000000"/>
                <w:sz w:val="24"/>
                <w:szCs w:val="24"/>
                <w:lang w:val="en-AU"/>
              </w:rPr>
              <w:t xml:space="preserve"> The internal delegation procedures relating to points </w:t>
            </w:r>
            <w:r w:rsidR="008A4646" w:rsidRPr="00504456">
              <w:rPr>
                <w:rFonts w:ascii="Arial" w:hAnsi="Arial" w:cs="Arial"/>
                <w:bCs/>
                <w:color w:val="000000"/>
                <w:sz w:val="24"/>
                <w:szCs w:val="24"/>
                <w:lang w:val="en-AU"/>
              </w:rPr>
              <w:t>2-7, will be outlined in an internal protocols document.</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Council will not support gaming</w:t>
            </w:r>
            <w:r w:rsidR="00AE73E9" w:rsidRPr="00504456">
              <w:rPr>
                <w:rFonts w:ascii="Arial" w:hAnsi="Arial" w:cs="Arial"/>
                <w:bCs/>
                <w:color w:val="000000"/>
                <w:sz w:val="24"/>
                <w:szCs w:val="24"/>
                <w:lang w:val="en-AU"/>
              </w:rPr>
              <w:t xml:space="preserve"> licence applications</w:t>
            </w:r>
            <w:r w:rsidRPr="00504456">
              <w:rPr>
                <w:rFonts w:ascii="Arial" w:hAnsi="Arial" w:cs="Arial"/>
                <w:bCs/>
                <w:color w:val="000000"/>
                <w:sz w:val="24"/>
                <w:szCs w:val="24"/>
                <w:lang w:val="en-AU"/>
              </w:rPr>
              <w:t xml:space="preserve"> to the </w:t>
            </w:r>
            <w:proofErr w:type="spellStart"/>
            <w:r w:rsidRPr="00504456">
              <w:rPr>
                <w:rFonts w:ascii="Arial" w:hAnsi="Arial" w:cs="Arial"/>
                <w:bCs/>
                <w:color w:val="000000"/>
                <w:sz w:val="24"/>
                <w:szCs w:val="24"/>
                <w:lang w:val="en-AU"/>
              </w:rPr>
              <w:t>VCGLR</w:t>
            </w:r>
            <w:proofErr w:type="spellEnd"/>
            <w:r w:rsidRPr="00504456">
              <w:rPr>
                <w:rFonts w:ascii="Arial" w:hAnsi="Arial" w:cs="Arial"/>
                <w:bCs/>
                <w:color w:val="000000"/>
                <w:sz w:val="24"/>
                <w:szCs w:val="24"/>
                <w:lang w:val="en-AU"/>
              </w:rPr>
              <w:t xml:space="preserve"> in neighbouring municipalities, which impact on Boroondara residents in close proximity to the venue. </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9A39C6"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rPr>
              <w:t xml:space="preserve">If time permits, </w:t>
            </w:r>
            <w:r w:rsidR="00A14868" w:rsidRPr="00504456">
              <w:rPr>
                <w:rFonts w:ascii="Arial" w:hAnsi="Arial" w:cs="Arial"/>
                <w:bCs/>
                <w:color w:val="000000"/>
                <w:sz w:val="24"/>
                <w:szCs w:val="24"/>
              </w:rPr>
              <w:t>Council will inform the community and seek feedback on gam</w:t>
            </w:r>
            <w:r w:rsidR="00056153" w:rsidRPr="00504456">
              <w:rPr>
                <w:rFonts w:ascii="Arial" w:hAnsi="Arial" w:cs="Arial"/>
                <w:bCs/>
                <w:color w:val="000000"/>
                <w:sz w:val="24"/>
                <w:szCs w:val="24"/>
              </w:rPr>
              <w:t>ing</w:t>
            </w:r>
            <w:r w:rsidR="00A14868" w:rsidRPr="00504456">
              <w:rPr>
                <w:rFonts w:ascii="Arial" w:hAnsi="Arial" w:cs="Arial"/>
                <w:bCs/>
                <w:color w:val="000000"/>
                <w:sz w:val="24"/>
                <w:szCs w:val="24"/>
              </w:rPr>
              <w:t xml:space="preserve"> </w:t>
            </w:r>
            <w:proofErr w:type="spellStart"/>
            <w:r w:rsidR="00AE73E9" w:rsidRPr="00504456">
              <w:rPr>
                <w:rFonts w:ascii="Arial" w:hAnsi="Arial" w:cs="Arial"/>
                <w:bCs/>
                <w:color w:val="000000"/>
                <w:sz w:val="24"/>
                <w:szCs w:val="24"/>
              </w:rPr>
              <w:t>licence</w:t>
            </w:r>
            <w:proofErr w:type="spellEnd"/>
            <w:r w:rsidR="00AE73E9" w:rsidRPr="00504456">
              <w:rPr>
                <w:rFonts w:ascii="Arial" w:hAnsi="Arial" w:cs="Arial"/>
                <w:bCs/>
                <w:color w:val="000000"/>
                <w:sz w:val="24"/>
                <w:szCs w:val="24"/>
              </w:rPr>
              <w:t xml:space="preserve"> applications</w:t>
            </w:r>
            <w:r w:rsidR="00A14868" w:rsidRPr="00504456">
              <w:rPr>
                <w:rFonts w:ascii="Arial" w:hAnsi="Arial" w:cs="Arial"/>
                <w:bCs/>
                <w:color w:val="000000"/>
                <w:sz w:val="24"/>
                <w:szCs w:val="24"/>
              </w:rPr>
              <w:t xml:space="preserve"> </w:t>
            </w:r>
            <w:r w:rsidR="004A6E7C" w:rsidRPr="00504456">
              <w:rPr>
                <w:rFonts w:ascii="Arial" w:hAnsi="Arial" w:cs="Arial"/>
                <w:bCs/>
                <w:color w:val="000000"/>
                <w:sz w:val="24"/>
                <w:szCs w:val="24"/>
              </w:rPr>
              <w:t xml:space="preserve">received by </w:t>
            </w:r>
            <w:r w:rsidR="00A14868" w:rsidRPr="00504456">
              <w:rPr>
                <w:rFonts w:ascii="Arial" w:hAnsi="Arial" w:cs="Arial"/>
                <w:bCs/>
                <w:color w:val="000000"/>
                <w:sz w:val="24"/>
                <w:szCs w:val="24"/>
              </w:rPr>
              <w:t xml:space="preserve">Council and the </w:t>
            </w:r>
            <w:proofErr w:type="spellStart"/>
            <w:r w:rsidR="00A14868" w:rsidRPr="00504456">
              <w:rPr>
                <w:rFonts w:ascii="Arial" w:hAnsi="Arial" w:cs="Arial"/>
                <w:bCs/>
                <w:color w:val="000000"/>
                <w:sz w:val="24"/>
                <w:szCs w:val="24"/>
              </w:rPr>
              <w:t>VCGLR</w:t>
            </w:r>
            <w:proofErr w:type="spellEnd"/>
            <w:r w:rsidR="00A14868" w:rsidRPr="00504456">
              <w:rPr>
                <w:rFonts w:ascii="Arial" w:hAnsi="Arial" w:cs="Arial"/>
                <w:bCs/>
                <w:color w:val="000000"/>
                <w:sz w:val="24"/>
                <w:szCs w:val="24"/>
              </w:rPr>
              <w:t>.</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not support </w:t>
            </w:r>
            <w:r w:rsidR="00056153" w:rsidRPr="00504456">
              <w:rPr>
                <w:rFonts w:ascii="Arial" w:hAnsi="Arial" w:cs="Arial"/>
                <w:bCs/>
                <w:color w:val="000000"/>
                <w:sz w:val="24"/>
                <w:szCs w:val="24"/>
                <w:lang w:val="en-AU"/>
              </w:rPr>
              <w:t xml:space="preserve">gaming </w:t>
            </w:r>
            <w:r w:rsidR="00AE73E9" w:rsidRPr="00504456">
              <w:rPr>
                <w:rFonts w:ascii="Arial" w:hAnsi="Arial" w:cs="Arial"/>
                <w:bCs/>
                <w:color w:val="000000"/>
                <w:sz w:val="24"/>
                <w:szCs w:val="24"/>
                <w:lang w:val="en-AU"/>
              </w:rPr>
              <w:t xml:space="preserve">licence </w:t>
            </w:r>
            <w:r w:rsidR="00056153" w:rsidRPr="00504456">
              <w:rPr>
                <w:rFonts w:ascii="Arial" w:hAnsi="Arial" w:cs="Arial"/>
                <w:bCs/>
                <w:color w:val="000000"/>
                <w:sz w:val="24"/>
                <w:szCs w:val="24"/>
                <w:lang w:val="en-AU"/>
              </w:rPr>
              <w:t>or planning</w:t>
            </w:r>
            <w:r w:rsidR="00AE73E9" w:rsidRPr="00504456">
              <w:rPr>
                <w:rFonts w:ascii="Arial" w:hAnsi="Arial" w:cs="Arial"/>
                <w:bCs/>
                <w:color w:val="000000"/>
                <w:sz w:val="24"/>
                <w:szCs w:val="24"/>
                <w:lang w:val="en-AU"/>
              </w:rPr>
              <w:t xml:space="preserve"> </w:t>
            </w:r>
            <w:r w:rsidR="00A018F9" w:rsidRPr="00504456">
              <w:rPr>
                <w:rFonts w:ascii="Arial" w:hAnsi="Arial" w:cs="Arial"/>
                <w:bCs/>
                <w:color w:val="000000"/>
                <w:sz w:val="24"/>
                <w:szCs w:val="24"/>
                <w:lang w:val="en-AU"/>
              </w:rPr>
              <w:t>permit applications</w:t>
            </w:r>
            <w:r w:rsidR="00AE73E9" w:rsidRPr="00504456">
              <w:rPr>
                <w:rFonts w:ascii="Arial" w:hAnsi="Arial" w:cs="Arial"/>
                <w:bCs/>
                <w:color w:val="000000"/>
                <w:sz w:val="24"/>
                <w:szCs w:val="24"/>
                <w:lang w:val="en-AU"/>
              </w:rPr>
              <w:t xml:space="preserve"> </w:t>
            </w:r>
            <w:r w:rsidRPr="00504456">
              <w:rPr>
                <w:rFonts w:ascii="Arial" w:hAnsi="Arial" w:cs="Arial"/>
                <w:bCs/>
                <w:color w:val="000000"/>
                <w:sz w:val="24"/>
                <w:szCs w:val="24"/>
                <w:lang w:val="en-AU"/>
              </w:rPr>
              <w:t xml:space="preserve">that seek to transfer </w:t>
            </w:r>
            <w:proofErr w:type="spellStart"/>
            <w:r w:rsidRPr="00504456">
              <w:rPr>
                <w:rFonts w:ascii="Arial" w:hAnsi="Arial" w:cs="Arial"/>
                <w:bCs/>
                <w:color w:val="000000"/>
                <w:sz w:val="24"/>
                <w:szCs w:val="24"/>
                <w:lang w:val="en-AU"/>
              </w:rPr>
              <w:t>EGMs</w:t>
            </w:r>
            <w:proofErr w:type="spellEnd"/>
            <w:r w:rsidR="00A018F9" w:rsidRPr="00504456">
              <w:rPr>
                <w:rFonts w:ascii="Arial" w:hAnsi="Arial" w:cs="Arial"/>
                <w:bCs/>
                <w:color w:val="000000"/>
                <w:sz w:val="24"/>
                <w:szCs w:val="24"/>
                <w:lang w:val="en-AU"/>
              </w:rPr>
              <w:t xml:space="preserve"> </w:t>
            </w:r>
            <w:r w:rsidRPr="00504456">
              <w:rPr>
                <w:rFonts w:ascii="Arial" w:hAnsi="Arial" w:cs="Arial"/>
                <w:bCs/>
                <w:color w:val="000000"/>
                <w:sz w:val="24"/>
                <w:szCs w:val="24"/>
                <w:lang w:val="en-AU"/>
              </w:rPr>
              <w:t xml:space="preserve">from one part of the municipality to a part of the municipality displaying greater social and/or economic disadvantage or a higher density of </w:t>
            </w:r>
            <w:proofErr w:type="spellStart"/>
            <w:r w:rsidRPr="00504456">
              <w:rPr>
                <w:rFonts w:ascii="Arial" w:hAnsi="Arial" w:cs="Arial"/>
                <w:bCs/>
                <w:color w:val="000000"/>
                <w:sz w:val="24"/>
                <w:szCs w:val="24"/>
                <w:lang w:val="en-AU"/>
              </w:rPr>
              <w:t>EGMs</w:t>
            </w:r>
            <w:proofErr w:type="spellEnd"/>
            <w:r w:rsidRPr="00504456">
              <w:rPr>
                <w:rFonts w:ascii="Arial" w:hAnsi="Arial" w:cs="Arial"/>
                <w:bCs/>
                <w:color w:val="000000"/>
                <w:sz w:val="24"/>
                <w:szCs w:val="24"/>
                <w:lang w:val="en-AU"/>
              </w:rPr>
              <w:t xml:space="preserve"> per adult population.</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not support </w:t>
            </w:r>
            <w:r w:rsidR="00056153" w:rsidRPr="00504456">
              <w:rPr>
                <w:rFonts w:ascii="Arial" w:hAnsi="Arial" w:cs="Arial"/>
                <w:bCs/>
                <w:color w:val="000000"/>
                <w:sz w:val="24"/>
                <w:szCs w:val="24"/>
                <w:lang w:val="en-AU"/>
              </w:rPr>
              <w:t xml:space="preserve">gaming </w:t>
            </w:r>
            <w:r w:rsidR="00AE73E9" w:rsidRPr="00504456">
              <w:rPr>
                <w:rFonts w:ascii="Arial" w:hAnsi="Arial" w:cs="Arial"/>
                <w:bCs/>
                <w:color w:val="000000"/>
                <w:sz w:val="24"/>
                <w:szCs w:val="24"/>
                <w:lang w:val="en-AU"/>
              </w:rPr>
              <w:t xml:space="preserve">licence </w:t>
            </w:r>
            <w:r w:rsidR="00056153" w:rsidRPr="00504456">
              <w:rPr>
                <w:rFonts w:ascii="Arial" w:hAnsi="Arial" w:cs="Arial"/>
                <w:bCs/>
                <w:color w:val="000000"/>
                <w:sz w:val="24"/>
                <w:szCs w:val="24"/>
                <w:lang w:val="en-AU"/>
              </w:rPr>
              <w:t xml:space="preserve">or planning </w:t>
            </w:r>
            <w:r w:rsidR="00AE73E9" w:rsidRPr="00504456">
              <w:rPr>
                <w:rFonts w:ascii="Arial" w:hAnsi="Arial" w:cs="Arial"/>
                <w:bCs/>
                <w:color w:val="000000"/>
                <w:sz w:val="24"/>
                <w:szCs w:val="24"/>
                <w:lang w:val="en-AU"/>
              </w:rPr>
              <w:t>permit application</w:t>
            </w:r>
            <w:r w:rsidR="004E29E4" w:rsidRPr="00504456">
              <w:rPr>
                <w:rFonts w:ascii="Arial" w:hAnsi="Arial" w:cs="Arial"/>
                <w:bCs/>
                <w:color w:val="000000"/>
                <w:sz w:val="24"/>
                <w:szCs w:val="24"/>
                <w:lang w:val="en-AU"/>
              </w:rPr>
              <w:t>s</w:t>
            </w:r>
            <w:r w:rsidRPr="00504456">
              <w:rPr>
                <w:rFonts w:ascii="Arial" w:hAnsi="Arial" w:cs="Arial"/>
                <w:bCs/>
                <w:color w:val="000000"/>
                <w:sz w:val="24"/>
                <w:szCs w:val="24"/>
                <w:lang w:val="en-AU"/>
              </w:rPr>
              <w:t xml:space="preserve"> that fail to provide a range of non-gaming entertainment and recreational activities for patrons or members beyond the placement of </w:t>
            </w:r>
            <w:proofErr w:type="spellStart"/>
            <w:r w:rsidRPr="00504456">
              <w:rPr>
                <w:rFonts w:ascii="Arial" w:hAnsi="Arial" w:cs="Arial"/>
                <w:bCs/>
                <w:color w:val="000000"/>
                <w:sz w:val="24"/>
                <w:szCs w:val="24"/>
                <w:lang w:val="en-AU"/>
              </w:rPr>
              <w:t>EGMs</w:t>
            </w:r>
            <w:proofErr w:type="spellEnd"/>
            <w:r w:rsidRPr="00504456">
              <w:rPr>
                <w:rFonts w:ascii="Arial" w:hAnsi="Arial" w:cs="Arial"/>
                <w:bCs/>
                <w:color w:val="000000"/>
                <w:sz w:val="24"/>
                <w:szCs w:val="24"/>
                <w:lang w:val="en-AU"/>
              </w:rPr>
              <w:t>.</w:t>
            </w:r>
          </w:p>
        </w:tc>
      </w:tr>
      <w:tr w:rsidR="00DE434C" w:rsidRPr="00504456" w:rsidTr="00F03287">
        <w:trPr>
          <w:cantSplit/>
        </w:trPr>
        <w:tc>
          <w:tcPr>
            <w:tcW w:w="2802" w:type="dxa"/>
            <w:vMerge/>
            <w:tcBorders>
              <w:left w:val="single" w:sz="8" w:space="0" w:color="9BBB59"/>
              <w:right w:val="single" w:sz="8" w:space="0" w:color="9BBB59"/>
            </w:tcBorders>
          </w:tcPr>
          <w:p w:rsidR="00DE434C" w:rsidRPr="00504456" w:rsidRDefault="00DE434C"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DE434C" w:rsidRPr="00504456" w:rsidRDefault="00B555E4"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Council will investigate the relevance of clause 22.14 Electronic Gaming Machine Policy in the Boroondara Planning Scheme</w:t>
            </w:r>
            <w:r w:rsidR="00A018F9" w:rsidRPr="00504456">
              <w:rPr>
                <w:rFonts w:ascii="Arial" w:hAnsi="Arial" w:cs="Arial"/>
                <w:bCs/>
                <w:color w:val="000000"/>
                <w:sz w:val="24"/>
                <w:szCs w:val="24"/>
                <w:lang w:val="en-AU"/>
              </w:rPr>
              <w:t>, as it is not consistent with the state designated policy, clause 52.28, and provides little policy direction that assists with the assessment of planning permit applications.</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lang w:val="en-AU"/>
              </w:rPr>
            </w:pPr>
            <w:r w:rsidRPr="00504456">
              <w:rPr>
                <w:rFonts w:ascii="Arial" w:hAnsi="Arial" w:cs="Arial"/>
                <w:bCs/>
                <w:color w:val="000000"/>
                <w:sz w:val="24"/>
                <w:szCs w:val="24"/>
                <w:lang w:val="en-AU"/>
              </w:rPr>
              <w:t xml:space="preserve">Council will prohibit </w:t>
            </w:r>
            <w:proofErr w:type="spellStart"/>
            <w:r w:rsidRPr="00504456">
              <w:rPr>
                <w:rFonts w:ascii="Arial" w:hAnsi="Arial" w:cs="Arial"/>
                <w:bCs/>
                <w:color w:val="000000"/>
                <w:sz w:val="24"/>
                <w:szCs w:val="24"/>
                <w:lang w:val="en-AU"/>
              </w:rPr>
              <w:t>EGMs</w:t>
            </w:r>
            <w:proofErr w:type="spellEnd"/>
            <w:r w:rsidRPr="00504456">
              <w:rPr>
                <w:rFonts w:ascii="Arial" w:hAnsi="Arial" w:cs="Arial"/>
                <w:bCs/>
                <w:color w:val="000000"/>
                <w:sz w:val="24"/>
                <w:szCs w:val="24"/>
                <w:lang w:val="en-AU"/>
              </w:rPr>
              <w:t xml:space="preserve"> on land specified in the schedules to Clauses 52.28-4 and 52.28-3 in the Boroondara Planning Scheme.</w:t>
            </w:r>
            <w:r w:rsidR="00EA2BC2" w:rsidRPr="00504456">
              <w:rPr>
                <w:rFonts w:ascii="Arial" w:hAnsi="Arial" w:cs="Arial"/>
                <w:bCs/>
                <w:color w:val="000000"/>
                <w:sz w:val="24"/>
                <w:szCs w:val="24"/>
                <w:lang w:val="en-AU"/>
              </w:rPr>
              <w:t xml:space="preserve"> This land is located in Boroondara shopping centres.</w:t>
            </w:r>
          </w:p>
        </w:tc>
      </w:tr>
      <w:tr w:rsidR="004E29E4" w:rsidRPr="00504456" w:rsidTr="00F03287">
        <w:trPr>
          <w:cantSplit/>
        </w:trPr>
        <w:tc>
          <w:tcPr>
            <w:tcW w:w="2802" w:type="dxa"/>
            <w:vMerge w:val="restart"/>
            <w:tcBorders>
              <w:top w:val="single" w:sz="8" w:space="0" w:color="9BBB59"/>
              <w:left w:val="single" w:sz="8" w:space="0" w:color="9BBB59"/>
              <w:right w:val="single" w:sz="8" w:space="0" w:color="9BBB59"/>
            </w:tcBorders>
          </w:tcPr>
          <w:p w:rsidR="004E29E4" w:rsidRPr="00504456" w:rsidRDefault="004E29E4"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Advocate</w:t>
            </w:r>
          </w:p>
        </w:tc>
        <w:tc>
          <w:tcPr>
            <w:tcW w:w="7087" w:type="dxa"/>
            <w:tcBorders>
              <w:top w:val="single" w:sz="8" w:space="0" w:color="9BBB59"/>
              <w:left w:val="single" w:sz="8" w:space="0" w:color="9BBB59"/>
              <w:bottom w:val="single" w:sz="8" w:space="0" w:color="9BBB59"/>
              <w:right w:val="single" w:sz="8" w:space="0" w:color="9BBB59"/>
            </w:tcBorders>
          </w:tcPr>
          <w:p w:rsidR="004E29E4" w:rsidRPr="00504456" w:rsidRDefault="004E29E4"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Council will strongly advocate to the Australian and Victorian Governments in relation to any gambling issues that impact on the local community.</w:t>
            </w:r>
          </w:p>
        </w:tc>
      </w:tr>
      <w:tr w:rsidR="004E29E4" w:rsidRPr="00504456" w:rsidTr="00F03287">
        <w:trPr>
          <w:cantSplit/>
        </w:trPr>
        <w:tc>
          <w:tcPr>
            <w:tcW w:w="2802" w:type="dxa"/>
            <w:vMerge/>
            <w:tcBorders>
              <w:left w:val="single" w:sz="8" w:space="0" w:color="9BBB59"/>
              <w:right w:val="single" w:sz="8" w:space="0" w:color="9BBB59"/>
            </w:tcBorders>
          </w:tcPr>
          <w:p w:rsidR="004E29E4" w:rsidRPr="00504456" w:rsidRDefault="004E29E4"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4E29E4" w:rsidRPr="00504456" w:rsidRDefault="004E29E4"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 xml:space="preserve">Council will strongly advocate to the Australian and Victorian Governments to pursue the implementation of further harm </w:t>
            </w:r>
            <w:proofErr w:type="spellStart"/>
            <w:r w:rsidRPr="00504456">
              <w:rPr>
                <w:rFonts w:ascii="Arial" w:hAnsi="Arial" w:cs="Arial"/>
                <w:bCs/>
                <w:color w:val="000000"/>
                <w:sz w:val="24"/>
                <w:szCs w:val="24"/>
              </w:rPr>
              <w:t>minimisation</w:t>
            </w:r>
            <w:proofErr w:type="spellEnd"/>
            <w:r w:rsidRPr="00504456">
              <w:rPr>
                <w:rFonts w:ascii="Arial" w:hAnsi="Arial" w:cs="Arial"/>
                <w:bCs/>
                <w:color w:val="000000"/>
                <w:sz w:val="24"/>
                <w:szCs w:val="24"/>
              </w:rPr>
              <w:t xml:space="preserve"> measures in line with the recommendations of the Productivity Commission's Gambling Report. This includes mandatory pre-commitment for </w:t>
            </w:r>
            <w:proofErr w:type="spellStart"/>
            <w:r w:rsidRPr="00504456">
              <w:rPr>
                <w:rFonts w:ascii="Arial" w:hAnsi="Arial" w:cs="Arial"/>
                <w:bCs/>
                <w:color w:val="000000"/>
                <w:sz w:val="24"/>
                <w:szCs w:val="24"/>
              </w:rPr>
              <w:t>EGMs</w:t>
            </w:r>
            <w:proofErr w:type="spellEnd"/>
            <w:r w:rsidRPr="00504456">
              <w:rPr>
                <w:rFonts w:ascii="Arial" w:hAnsi="Arial" w:cs="Arial"/>
                <w:bCs/>
                <w:color w:val="000000"/>
                <w:sz w:val="24"/>
                <w:szCs w:val="24"/>
              </w:rPr>
              <w:t xml:space="preserve">, $1 bet limits for </w:t>
            </w:r>
            <w:proofErr w:type="spellStart"/>
            <w:r w:rsidRPr="00504456">
              <w:rPr>
                <w:rFonts w:ascii="Arial" w:hAnsi="Arial" w:cs="Arial"/>
                <w:bCs/>
                <w:color w:val="000000"/>
                <w:sz w:val="24"/>
                <w:szCs w:val="24"/>
              </w:rPr>
              <w:t>EGMs</w:t>
            </w:r>
            <w:proofErr w:type="spellEnd"/>
            <w:r w:rsidRPr="00504456">
              <w:rPr>
                <w:rFonts w:ascii="Arial" w:hAnsi="Arial" w:cs="Arial"/>
                <w:bCs/>
                <w:color w:val="000000"/>
                <w:sz w:val="24"/>
                <w:szCs w:val="24"/>
              </w:rPr>
              <w:t xml:space="preserve"> and limiting opening hours of </w:t>
            </w:r>
            <w:proofErr w:type="spellStart"/>
            <w:r w:rsidRPr="00504456">
              <w:rPr>
                <w:rFonts w:ascii="Arial" w:hAnsi="Arial" w:cs="Arial"/>
                <w:bCs/>
                <w:color w:val="000000"/>
                <w:sz w:val="24"/>
                <w:szCs w:val="24"/>
              </w:rPr>
              <w:t>EGM</w:t>
            </w:r>
            <w:proofErr w:type="spellEnd"/>
            <w:r w:rsidRPr="00504456">
              <w:rPr>
                <w:rFonts w:ascii="Arial" w:hAnsi="Arial" w:cs="Arial"/>
                <w:bCs/>
                <w:color w:val="000000"/>
                <w:sz w:val="24"/>
                <w:szCs w:val="24"/>
              </w:rPr>
              <w:t xml:space="preserve"> areas in gaming venues. </w:t>
            </w:r>
          </w:p>
        </w:tc>
      </w:tr>
      <w:tr w:rsidR="004E29E4" w:rsidRPr="00504456" w:rsidTr="00F03287">
        <w:trPr>
          <w:cantSplit/>
        </w:trPr>
        <w:tc>
          <w:tcPr>
            <w:tcW w:w="2802" w:type="dxa"/>
            <w:vMerge/>
            <w:tcBorders>
              <w:left w:val="single" w:sz="8" w:space="0" w:color="9BBB59"/>
              <w:right w:val="single" w:sz="8" w:space="0" w:color="9BBB59"/>
            </w:tcBorders>
          </w:tcPr>
          <w:p w:rsidR="004E29E4" w:rsidRPr="00504456" w:rsidRDefault="004E29E4"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4E29E4" w:rsidRPr="00504456" w:rsidRDefault="004E29E4"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Council will strongly advocate for the provision of adequately funded and readily available support services for people affected directly or indirectly by gambling.</w:t>
            </w:r>
          </w:p>
        </w:tc>
      </w:tr>
      <w:tr w:rsidR="004E29E4" w:rsidRPr="00504456" w:rsidTr="00185F1C">
        <w:trPr>
          <w:cantSplit/>
        </w:trPr>
        <w:tc>
          <w:tcPr>
            <w:tcW w:w="2802" w:type="dxa"/>
            <w:vMerge/>
            <w:tcBorders>
              <w:left w:val="single" w:sz="8" w:space="0" w:color="9BBB59"/>
              <w:right w:val="single" w:sz="8" w:space="0" w:color="9BBB59"/>
            </w:tcBorders>
          </w:tcPr>
          <w:p w:rsidR="004E29E4" w:rsidRPr="00504456" w:rsidRDefault="004E29E4"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4E29E4" w:rsidRPr="00504456" w:rsidRDefault="004E29E4"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 xml:space="preserve">Council will strongly advocate for </w:t>
            </w:r>
            <w:proofErr w:type="spellStart"/>
            <w:r w:rsidRPr="00504456">
              <w:rPr>
                <w:rFonts w:ascii="Arial" w:hAnsi="Arial" w:cs="Arial"/>
                <w:bCs/>
                <w:color w:val="000000"/>
                <w:sz w:val="24"/>
                <w:szCs w:val="24"/>
              </w:rPr>
              <w:t>EGM</w:t>
            </w:r>
            <w:proofErr w:type="spellEnd"/>
            <w:r w:rsidRPr="00504456">
              <w:rPr>
                <w:rFonts w:ascii="Arial" w:hAnsi="Arial" w:cs="Arial"/>
                <w:bCs/>
                <w:color w:val="000000"/>
                <w:sz w:val="24"/>
                <w:szCs w:val="24"/>
              </w:rPr>
              <w:t xml:space="preserve"> gaming venues to be able to hand back </w:t>
            </w:r>
            <w:proofErr w:type="spellStart"/>
            <w:r w:rsidRPr="00504456">
              <w:rPr>
                <w:rFonts w:ascii="Arial" w:hAnsi="Arial" w:cs="Arial"/>
                <w:bCs/>
                <w:color w:val="000000"/>
                <w:sz w:val="24"/>
                <w:szCs w:val="24"/>
              </w:rPr>
              <w:t>EGM</w:t>
            </w:r>
            <w:proofErr w:type="spellEnd"/>
            <w:r w:rsidRPr="00504456">
              <w:rPr>
                <w:rFonts w:ascii="Arial" w:hAnsi="Arial" w:cs="Arial"/>
                <w:bCs/>
                <w:color w:val="000000"/>
                <w:sz w:val="24"/>
                <w:szCs w:val="24"/>
              </w:rPr>
              <w:t xml:space="preserve"> entitlements to the Victorian Government without incurring a financial penalty.</w:t>
            </w:r>
          </w:p>
        </w:tc>
      </w:tr>
      <w:tr w:rsidR="00A14868" w:rsidRPr="00504456" w:rsidTr="00F03287">
        <w:trPr>
          <w:cantSplit/>
        </w:trPr>
        <w:tc>
          <w:tcPr>
            <w:tcW w:w="2802" w:type="dxa"/>
            <w:vMerge w:val="restart"/>
            <w:tcBorders>
              <w:top w:val="single" w:sz="8" w:space="0" w:color="9BBB59"/>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Partner</w:t>
            </w: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 xml:space="preserve">Council will participate in local, regional and </w:t>
            </w:r>
            <w:r w:rsidR="002A4FA1" w:rsidRPr="00504456">
              <w:rPr>
                <w:rFonts w:ascii="Arial" w:hAnsi="Arial" w:cs="Arial"/>
                <w:bCs/>
                <w:color w:val="000000"/>
                <w:sz w:val="24"/>
                <w:szCs w:val="24"/>
              </w:rPr>
              <w:t>state-wide</w:t>
            </w:r>
            <w:r w:rsidRPr="00504456">
              <w:rPr>
                <w:rFonts w:ascii="Arial" w:hAnsi="Arial" w:cs="Arial"/>
                <w:bCs/>
                <w:color w:val="000000"/>
                <w:sz w:val="24"/>
                <w:szCs w:val="24"/>
              </w:rPr>
              <w:t xml:space="preserve"> networks to ensure that Council is informed on legislative changes, emerging trends and resources, and to advocate for gambling reform.</w:t>
            </w:r>
          </w:p>
        </w:tc>
      </w:tr>
      <w:tr w:rsidR="00A14868" w:rsidRPr="00504456" w:rsidTr="00F03287">
        <w:trPr>
          <w:cantSplit/>
        </w:trPr>
        <w:tc>
          <w:tcPr>
            <w:tcW w:w="2802" w:type="dxa"/>
            <w:vMerge/>
            <w:tcBorders>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BodyText"/>
              <w:numPr>
                <w:ilvl w:val="0"/>
                <w:numId w:val="28"/>
              </w:numPr>
              <w:rPr>
                <w:rFonts w:cs="Arial"/>
                <w:sz w:val="24"/>
              </w:rPr>
            </w:pPr>
            <w:r w:rsidRPr="00504456">
              <w:rPr>
                <w:rFonts w:eastAsia="Calibri" w:cs="Arial"/>
                <w:bCs/>
                <w:sz w:val="24"/>
              </w:rPr>
              <w:t>Council will work with Gambler's Help Eastern</w:t>
            </w:r>
            <w:r w:rsidR="00EF7DFA" w:rsidRPr="00504456">
              <w:rPr>
                <w:rFonts w:eastAsia="Calibri" w:cs="Arial"/>
                <w:bCs/>
                <w:sz w:val="24"/>
              </w:rPr>
              <w:t xml:space="preserve">, </w:t>
            </w:r>
            <w:r w:rsidR="004D525A" w:rsidRPr="00504456">
              <w:rPr>
                <w:rFonts w:eastAsia="Calibri" w:cs="Arial"/>
                <w:bCs/>
                <w:sz w:val="24"/>
              </w:rPr>
              <w:t xml:space="preserve">the </w:t>
            </w:r>
            <w:r w:rsidR="00EF7DFA" w:rsidRPr="00504456">
              <w:rPr>
                <w:rFonts w:eastAsia="Calibri" w:cs="Arial"/>
                <w:bCs/>
                <w:sz w:val="24"/>
              </w:rPr>
              <w:t>Inner East Primary Care Partnership</w:t>
            </w:r>
            <w:r w:rsidRPr="00504456">
              <w:rPr>
                <w:rFonts w:eastAsia="Calibri" w:cs="Arial"/>
                <w:bCs/>
                <w:sz w:val="24"/>
              </w:rPr>
              <w:t xml:space="preserve"> and other </w:t>
            </w:r>
            <w:proofErr w:type="spellStart"/>
            <w:r w:rsidRPr="00504456">
              <w:rPr>
                <w:rFonts w:eastAsia="Calibri" w:cs="Arial"/>
                <w:bCs/>
                <w:sz w:val="24"/>
              </w:rPr>
              <w:t>organisations</w:t>
            </w:r>
            <w:proofErr w:type="spellEnd"/>
            <w:r w:rsidRPr="00504456">
              <w:rPr>
                <w:rFonts w:eastAsia="Calibri" w:cs="Arial"/>
                <w:bCs/>
                <w:sz w:val="24"/>
              </w:rPr>
              <w:t xml:space="preserve"> to support their </w:t>
            </w:r>
            <w:r w:rsidR="00DF0AAB" w:rsidRPr="00504456">
              <w:rPr>
                <w:rFonts w:eastAsia="Calibri" w:cs="Arial"/>
                <w:bCs/>
                <w:sz w:val="24"/>
              </w:rPr>
              <w:t xml:space="preserve">gambling </w:t>
            </w:r>
            <w:r w:rsidRPr="00504456">
              <w:rPr>
                <w:rFonts w:eastAsia="Calibri" w:cs="Arial"/>
                <w:bCs/>
                <w:sz w:val="24"/>
              </w:rPr>
              <w:t xml:space="preserve">harm </w:t>
            </w:r>
            <w:proofErr w:type="spellStart"/>
            <w:r w:rsidRPr="00504456">
              <w:rPr>
                <w:rFonts w:eastAsia="Calibri" w:cs="Arial"/>
                <w:bCs/>
                <w:sz w:val="24"/>
              </w:rPr>
              <w:t>minimisation</w:t>
            </w:r>
            <w:proofErr w:type="spellEnd"/>
            <w:r w:rsidRPr="00504456">
              <w:rPr>
                <w:rFonts w:eastAsia="Calibri" w:cs="Arial"/>
                <w:bCs/>
                <w:sz w:val="24"/>
              </w:rPr>
              <w:t xml:space="preserve"> strategies in the community.</w:t>
            </w:r>
          </w:p>
        </w:tc>
      </w:tr>
      <w:tr w:rsidR="00A14868" w:rsidRPr="00504456" w:rsidTr="00F03287">
        <w:trPr>
          <w:cantSplit/>
        </w:trPr>
        <w:tc>
          <w:tcPr>
            <w:tcW w:w="2802" w:type="dxa"/>
            <w:vMerge w:val="restart"/>
            <w:tcBorders>
              <w:top w:val="single" w:sz="8" w:space="0" w:color="9BBB59"/>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Community educator</w:t>
            </w: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sz w:val="24"/>
                <w:szCs w:val="24"/>
              </w:rPr>
            </w:pPr>
            <w:r w:rsidRPr="00504456">
              <w:rPr>
                <w:rFonts w:ascii="Arial" w:hAnsi="Arial" w:cs="Arial"/>
                <w:bCs/>
                <w:sz w:val="24"/>
                <w:szCs w:val="24"/>
              </w:rPr>
              <w:t>Council will inform the community about gambling trends, responsible gambling practices and the effects of gambling on the broader community.</w:t>
            </w:r>
          </w:p>
        </w:tc>
      </w:tr>
      <w:tr w:rsidR="00A14868" w:rsidRPr="00504456" w:rsidTr="00F03287">
        <w:trPr>
          <w:cantSplit/>
        </w:trPr>
        <w:tc>
          <w:tcPr>
            <w:tcW w:w="2802" w:type="dxa"/>
            <w:vMerge/>
            <w:tcBorders>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Council will promote, encourage and support the local community to pursue balanced lifestyles by actively participating in social, cultural and recreational opportunities.</w:t>
            </w:r>
          </w:p>
        </w:tc>
      </w:tr>
      <w:tr w:rsidR="00A14868" w:rsidRPr="00504456" w:rsidTr="00F03287">
        <w:trPr>
          <w:cantSplit/>
        </w:trPr>
        <w:tc>
          <w:tcPr>
            <w:tcW w:w="2802" w:type="dxa"/>
            <w:vMerge/>
            <w:tcBorders>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BodyText"/>
              <w:numPr>
                <w:ilvl w:val="0"/>
                <w:numId w:val="28"/>
              </w:numPr>
              <w:rPr>
                <w:rFonts w:cs="Arial"/>
                <w:sz w:val="24"/>
              </w:rPr>
            </w:pPr>
            <w:r w:rsidRPr="00504456">
              <w:rPr>
                <w:rFonts w:eastAsia="Calibri" w:cs="Arial"/>
                <w:bCs/>
                <w:color w:val="000000"/>
                <w:sz w:val="24"/>
              </w:rPr>
              <w:t>Council will promote services available to assist individuals and families affected by problem gambling.</w:t>
            </w:r>
          </w:p>
        </w:tc>
      </w:tr>
      <w:tr w:rsidR="00A14868" w:rsidRPr="00504456" w:rsidTr="00F03287">
        <w:trPr>
          <w:cantSplit/>
        </w:trPr>
        <w:tc>
          <w:tcPr>
            <w:tcW w:w="2802" w:type="dxa"/>
            <w:vMerge w:val="restart"/>
            <w:tcBorders>
              <w:top w:val="single" w:sz="8" w:space="0" w:color="9BBB59"/>
              <w:left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Researcher</w:t>
            </w: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color w:val="000000"/>
                <w:sz w:val="24"/>
                <w:szCs w:val="24"/>
                <w:lang w:val="en-AU"/>
              </w:rPr>
            </w:pPr>
            <w:r w:rsidRPr="00504456">
              <w:rPr>
                <w:rFonts w:ascii="Arial" w:hAnsi="Arial" w:cs="Arial"/>
                <w:bCs/>
                <w:color w:val="000000"/>
                <w:sz w:val="24"/>
                <w:szCs w:val="24"/>
              </w:rPr>
              <w:t>Where appropriate, Council will participate in local research and educational programs related to gambling.</w:t>
            </w:r>
          </w:p>
        </w:tc>
      </w:tr>
      <w:tr w:rsidR="00A14868" w:rsidRPr="00504456" w:rsidTr="00F03287">
        <w:trPr>
          <w:cantSplit/>
        </w:trPr>
        <w:tc>
          <w:tcPr>
            <w:tcW w:w="2802" w:type="dxa"/>
            <w:vMerge/>
            <w:tcBorders>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p>
        </w:tc>
        <w:tc>
          <w:tcPr>
            <w:tcW w:w="7087" w:type="dxa"/>
            <w:tcBorders>
              <w:top w:val="single" w:sz="8" w:space="0" w:color="9BBB59"/>
              <w:left w:val="single" w:sz="8" w:space="0" w:color="9BBB59"/>
              <w:bottom w:val="single" w:sz="8" w:space="0" w:color="9BBB59"/>
              <w:right w:val="single" w:sz="8" w:space="0" w:color="9BBB59"/>
            </w:tcBorders>
          </w:tcPr>
          <w:p w:rsidR="00A14868" w:rsidRPr="00504456" w:rsidRDefault="00A14868" w:rsidP="00036CC5">
            <w:pPr>
              <w:pStyle w:val="ListParagraph"/>
              <w:numPr>
                <w:ilvl w:val="0"/>
                <w:numId w:val="28"/>
              </w:numPr>
              <w:rPr>
                <w:rFonts w:ascii="Arial" w:hAnsi="Arial" w:cs="Arial"/>
                <w:bCs/>
                <w:color w:val="000000"/>
                <w:sz w:val="24"/>
                <w:szCs w:val="24"/>
              </w:rPr>
            </w:pPr>
            <w:r w:rsidRPr="00504456">
              <w:rPr>
                <w:rFonts w:ascii="Arial" w:hAnsi="Arial" w:cs="Arial"/>
                <w:bCs/>
                <w:color w:val="000000"/>
                <w:sz w:val="24"/>
                <w:szCs w:val="24"/>
              </w:rPr>
              <w:t>Council will monitor and consider the impacts on the local community of gambling expenditure, research outcomes, legislative changes and developments within the gambling</w:t>
            </w:r>
            <w:r w:rsidR="001B3A46" w:rsidRPr="00504456">
              <w:rPr>
                <w:rFonts w:ascii="Arial" w:hAnsi="Arial" w:cs="Arial"/>
                <w:bCs/>
                <w:color w:val="000000"/>
                <w:sz w:val="24"/>
                <w:szCs w:val="24"/>
              </w:rPr>
              <w:t xml:space="preserve"> industry</w:t>
            </w:r>
            <w:r w:rsidRPr="00504456">
              <w:rPr>
                <w:rFonts w:ascii="Arial" w:hAnsi="Arial" w:cs="Arial"/>
                <w:bCs/>
                <w:color w:val="000000"/>
                <w:sz w:val="24"/>
                <w:szCs w:val="24"/>
              </w:rPr>
              <w:t>.</w:t>
            </w:r>
          </w:p>
        </w:tc>
      </w:tr>
    </w:tbl>
    <w:p w:rsidR="00A14868" w:rsidRPr="00504456" w:rsidRDefault="00A14868" w:rsidP="00A14868">
      <w:pPr>
        <w:pStyle w:val="BodyText"/>
        <w:rPr>
          <w:rFonts w:cs="Arial"/>
          <w:color w:val="000000"/>
          <w:sz w:val="24"/>
          <w:lang w:val="en-AU" w:eastAsia="en-AU"/>
        </w:rPr>
      </w:pPr>
    </w:p>
    <w:p w:rsidR="00A14868" w:rsidRPr="00504456" w:rsidRDefault="00A14868" w:rsidP="00A14868">
      <w:pPr>
        <w:pStyle w:val="Heading2"/>
        <w:spacing w:before="0"/>
      </w:pPr>
      <w:bookmarkStart w:id="135" w:name="_Toc355356505"/>
      <w:bookmarkStart w:id="136" w:name="_Toc355356682"/>
      <w:bookmarkStart w:id="137" w:name="_Toc355356847"/>
      <w:bookmarkStart w:id="138" w:name="_Toc355614028"/>
      <w:bookmarkStart w:id="139" w:name="_Toc355356521"/>
      <w:bookmarkStart w:id="140" w:name="_Toc355356698"/>
      <w:bookmarkStart w:id="141" w:name="_Toc355356863"/>
      <w:bookmarkStart w:id="142" w:name="_Toc355614044"/>
      <w:bookmarkStart w:id="143" w:name="_Toc355356526"/>
      <w:bookmarkStart w:id="144" w:name="_Toc355356703"/>
      <w:bookmarkStart w:id="145" w:name="_Toc355356868"/>
      <w:bookmarkStart w:id="146" w:name="_Toc355614049"/>
      <w:bookmarkStart w:id="147" w:name="_Toc355356531"/>
      <w:bookmarkStart w:id="148" w:name="_Toc355356708"/>
      <w:bookmarkStart w:id="149" w:name="_Toc355356873"/>
      <w:bookmarkStart w:id="150" w:name="_Toc355614054"/>
      <w:bookmarkStart w:id="151" w:name="_Toc355356532"/>
      <w:bookmarkStart w:id="152" w:name="_Toc355356709"/>
      <w:bookmarkStart w:id="153" w:name="_Toc355356874"/>
      <w:bookmarkStart w:id="154" w:name="_Toc35561405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504456">
        <w:rPr>
          <w:rFonts w:cs="Arial"/>
          <w:color w:val="000000"/>
          <w:lang w:val="en-AU" w:eastAsia="en-AU"/>
        </w:rPr>
        <w:t xml:space="preserve"> </w:t>
      </w:r>
      <w:bookmarkStart w:id="155" w:name="_Toc355356533"/>
      <w:bookmarkStart w:id="156" w:name="_Toc355356710"/>
      <w:bookmarkStart w:id="157" w:name="_Toc355356875"/>
      <w:bookmarkStart w:id="158" w:name="_Toc355614056"/>
      <w:bookmarkStart w:id="159" w:name="_Toc355356534"/>
      <w:bookmarkStart w:id="160" w:name="_Toc355356711"/>
      <w:bookmarkStart w:id="161" w:name="_Toc355356876"/>
      <w:bookmarkStart w:id="162" w:name="_Toc355614057"/>
      <w:bookmarkStart w:id="163" w:name="_Toc355356535"/>
      <w:bookmarkStart w:id="164" w:name="_Toc355356712"/>
      <w:bookmarkStart w:id="165" w:name="_Toc355356877"/>
      <w:bookmarkStart w:id="166" w:name="_Toc355614058"/>
      <w:bookmarkStart w:id="167" w:name="_Toc355356536"/>
      <w:bookmarkStart w:id="168" w:name="_Toc355356713"/>
      <w:bookmarkStart w:id="169" w:name="_Toc355356878"/>
      <w:bookmarkStart w:id="170" w:name="_Toc355614059"/>
      <w:bookmarkStart w:id="171" w:name="_Toc355356537"/>
      <w:bookmarkStart w:id="172" w:name="_Toc355356714"/>
      <w:bookmarkStart w:id="173" w:name="_Toc355356879"/>
      <w:bookmarkStart w:id="174" w:name="_Toc355614060"/>
      <w:bookmarkStart w:id="175" w:name="_Toc355356538"/>
      <w:bookmarkStart w:id="176" w:name="_Toc355356715"/>
      <w:bookmarkStart w:id="177" w:name="_Toc355356880"/>
      <w:bookmarkStart w:id="178" w:name="_Toc355614061"/>
      <w:bookmarkStart w:id="179" w:name="_Toc355356539"/>
      <w:bookmarkStart w:id="180" w:name="_Toc355356716"/>
      <w:bookmarkStart w:id="181" w:name="_Toc355356881"/>
      <w:bookmarkStart w:id="182" w:name="_Toc35561406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504456">
        <w:rPr>
          <w:rFonts w:eastAsia="Calibri" w:cs="Arial"/>
          <w:bCs w:val="0"/>
          <w:color w:val="000000"/>
          <w:lang w:val="en-AU"/>
        </w:rPr>
        <w:t xml:space="preserve"> </w:t>
      </w:r>
      <w:bookmarkStart w:id="183" w:name="_Toc355356541"/>
      <w:bookmarkStart w:id="184" w:name="_Toc355356718"/>
      <w:bookmarkStart w:id="185" w:name="_Toc355356883"/>
      <w:bookmarkStart w:id="186" w:name="_Toc355614064"/>
      <w:bookmarkStart w:id="187" w:name="_Toc355356542"/>
      <w:bookmarkStart w:id="188" w:name="_Toc355356719"/>
      <w:bookmarkStart w:id="189" w:name="_Toc355356884"/>
      <w:bookmarkStart w:id="190" w:name="_Toc355614065"/>
      <w:bookmarkStart w:id="191" w:name="_Toc355356543"/>
      <w:bookmarkStart w:id="192" w:name="_Toc355356720"/>
      <w:bookmarkStart w:id="193" w:name="_Toc355356885"/>
      <w:bookmarkStart w:id="194" w:name="_Toc355614066"/>
      <w:bookmarkStart w:id="195" w:name="_Toc355356544"/>
      <w:bookmarkStart w:id="196" w:name="_Toc355356721"/>
      <w:bookmarkStart w:id="197" w:name="_Toc355356886"/>
      <w:bookmarkStart w:id="198" w:name="_Toc355614067"/>
      <w:bookmarkStart w:id="199" w:name="_Toc355356545"/>
      <w:bookmarkStart w:id="200" w:name="_Toc355356722"/>
      <w:bookmarkStart w:id="201" w:name="_Toc355356887"/>
      <w:bookmarkStart w:id="202" w:name="_Toc355614068"/>
      <w:bookmarkStart w:id="203" w:name="_Toc355356546"/>
      <w:bookmarkStart w:id="204" w:name="_Toc355356723"/>
      <w:bookmarkStart w:id="205" w:name="_Toc355356888"/>
      <w:bookmarkStart w:id="206" w:name="_Toc355614069"/>
      <w:bookmarkStart w:id="207" w:name="_Toc355356559"/>
      <w:bookmarkStart w:id="208" w:name="_Toc355356736"/>
      <w:bookmarkStart w:id="209" w:name="_Toc355356901"/>
      <w:bookmarkStart w:id="210" w:name="_Toc355614082"/>
      <w:bookmarkStart w:id="211" w:name="_Toc355356560"/>
      <w:bookmarkStart w:id="212" w:name="_Toc355356737"/>
      <w:bookmarkStart w:id="213" w:name="_Toc355356902"/>
      <w:bookmarkStart w:id="214" w:name="_Toc355614083"/>
      <w:bookmarkStart w:id="215" w:name="_Toc355356561"/>
      <w:bookmarkStart w:id="216" w:name="_Toc355356738"/>
      <w:bookmarkStart w:id="217" w:name="_Toc355356903"/>
      <w:bookmarkStart w:id="218" w:name="_Toc355614084"/>
      <w:bookmarkStart w:id="219" w:name="_Toc355356562"/>
      <w:bookmarkStart w:id="220" w:name="_Toc355356739"/>
      <w:bookmarkStart w:id="221" w:name="_Toc355356904"/>
      <w:bookmarkStart w:id="222" w:name="_Toc355614085"/>
      <w:bookmarkStart w:id="223" w:name="_Toc355356563"/>
      <w:bookmarkStart w:id="224" w:name="_Toc355356740"/>
      <w:bookmarkStart w:id="225" w:name="_Toc355356905"/>
      <w:bookmarkStart w:id="226" w:name="_Toc355614086"/>
      <w:bookmarkStart w:id="227" w:name="_Toc355356564"/>
      <w:bookmarkStart w:id="228" w:name="_Toc355356741"/>
      <w:bookmarkStart w:id="229" w:name="_Toc355356906"/>
      <w:bookmarkStart w:id="230" w:name="_Toc355614087"/>
      <w:bookmarkStart w:id="231" w:name="_Toc355356565"/>
      <w:bookmarkStart w:id="232" w:name="_Toc355356742"/>
      <w:bookmarkStart w:id="233" w:name="_Toc355356907"/>
      <w:bookmarkStart w:id="234" w:name="_Toc355614088"/>
      <w:bookmarkStart w:id="235" w:name="_Toc355356566"/>
      <w:bookmarkStart w:id="236" w:name="_Toc355356743"/>
      <w:bookmarkStart w:id="237" w:name="_Toc355356908"/>
      <w:bookmarkStart w:id="238" w:name="_Toc355614089"/>
      <w:bookmarkStart w:id="239" w:name="_Toc355356567"/>
      <w:bookmarkStart w:id="240" w:name="_Toc355356744"/>
      <w:bookmarkStart w:id="241" w:name="_Toc355356909"/>
      <w:bookmarkStart w:id="242" w:name="_Toc355614090"/>
      <w:bookmarkStart w:id="243" w:name="_Toc355356568"/>
      <w:bookmarkStart w:id="244" w:name="_Toc355356745"/>
      <w:bookmarkStart w:id="245" w:name="_Toc355356910"/>
      <w:bookmarkStart w:id="246" w:name="_Toc355614091"/>
      <w:bookmarkStart w:id="247" w:name="_Toc355356570"/>
      <w:bookmarkStart w:id="248" w:name="_Toc355356747"/>
      <w:bookmarkStart w:id="249" w:name="_Toc355356912"/>
      <w:bookmarkStart w:id="250" w:name="_Toc355614093"/>
      <w:bookmarkStart w:id="251" w:name="_Toc355356571"/>
      <w:bookmarkStart w:id="252" w:name="_Toc355356748"/>
      <w:bookmarkStart w:id="253" w:name="_Toc355356913"/>
      <w:bookmarkStart w:id="254" w:name="_Toc355614094"/>
      <w:bookmarkStart w:id="255" w:name="_Toc355356572"/>
      <w:bookmarkStart w:id="256" w:name="_Toc355356749"/>
      <w:bookmarkStart w:id="257" w:name="_Toc355356914"/>
      <w:bookmarkStart w:id="258" w:name="_Toc355614095"/>
      <w:bookmarkStart w:id="259" w:name="_Toc355356573"/>
      <w:bookmarkStart w:id="260" w:name="_Toc355356750"/>
      <w:bookmarkStart w:id="261" w:name="_Toc355356915"/>
      <w:bookmarkStart w:id="262" w:name="_Toc355614096"/>
      <w:bookmarkStart w:id="263" w:name="_Toc355356574"/>
      <w:bookmarkStart w:id="264" w:name="_Toc355356751"/>
      <w:bookmarkStart w:id="265" w:name="_Toc355356916"/>
      <w:bookmarkStart w:id="266" w:name="_Toc355614097"/>
      <w:bookmarkStart w:id="267" w:name="_Toc355356575"/>
      <w:bookmarkStart w:id="268" w:name="_Toc355356752"/>
      <w:bookmarkStart w:id="269" w:name="_Toc355356917"/>
      <w:bookmarkStart w:id="270" w:name="_Toc35561409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504456">
        <w:rPr>
          <w:rFonts w:eastAsia="Calibri" w:cs="Arial"/>
          <w:bCs w:val="0"/>
          <w:color w:val="000000"/>
        </w:rPr>
        <w:t xml:space="preserve"> </w:t>
      </w:r>
      <w:bookmarkStart w:id="271" w:name="_Toc355356578"/>
      <w:bookmarkStart w:id="272" w:name="_Toc355356755"/>
      <w:bookmarkStart w:id="273" w:name="_Toc355356920"/>
      <w:bookmarkStart w:id="274" w:name="_Toc355614101"/>
      <w:bookmarkStart w:id="275" w:name="_Toc355356579"/>
      <w:bookmarkStart w:id="276" w:name="_Toc355356756"/>
      <w:bookmarkStart w:id="277" w:name="_Toc355356921"/>
      <w:bookmarkStart w:id="278" w:name="_Toc355614102"/>
      <w:bookmarkStart w:id="279" w:name="_Toc355356580"/>
      <w:bookmarkStart w:id="280" w:name="_Toc355356757"/>
      <w:bookmarkStart w:id="281" w:name="_Toc355356922"/>
      <w:bookmarkStart w:id="282" w:name="_Toc355614103"/>
      <w:bookmarkStart w:id="283" w:name="_Toc355356581"/>
      <w:bookmarkStart w:id="284" w:name="_Toc355356758"/>
      <w:bookmarkStart w:id="285" w:name="_Toc355356923"/>
      <w:bookmarkStart w:id="286" w:name="_Toc355614104"/>
      <w:bookmarkStart w:id="287" w:name="_Toc355356582"/>
      <w:bookmarkStart w:id="288" w:name="_Toc355356759"/>
      <w:bookmarkStart w:id="289" w:name="_Toc355356924"/>
      <w:bookmarkStart w:id="290" w:name="_Toc355614105"/>
      <w:bookmarkStart w:id="291" w:name="_Toc355356583"/>
      <w:bookmarkStart w:id="292" w:name="_Toc355356760"/>
      <w:bookmarkStart w:id="293" w:name="_Toc355356925"/>
      <w:bookmarkStart w:id="294" w:name="_Toc355614106"/>
      <w:bookmarkStart w:id="295" w:name="_Toc355356584"/>
      <w:bookmarkStart w:id="296" w:name="_Toc355356761"/>
      <w:bookmarkStart w:id="297" w:name="_Toc355356926"/>
      <w:bookmarkStart w:id="298" w:name="_Toc355614107"/>
      <w:bookmarkStart w:id="299" w:name="_Toc355356585"/>
      <w:bookmarkStart w:id="300" w:name="_Toc355356762"/>
      <w:bookmarkStart w:id="301" w:name="_Toc355356927"/>
      <w:bookmarkStart w:id="302" w:name="_Toc355614108"/>
      <w:bookmarkStart w:id="303" w:name="_Toc355356587"/>
      <w:bookmarkStart w:id="304" w:name="_Toc355356764"/>
      <w:bookmarkStart w:id="305" w:name="_Toc355356929"/>
      <w:bookmarkStart w:id="306" w:name="_Toc355614110"/>
      <w:bookmarkStart w:id="307" w:name="_Toc355356588"/>
      <w:bookmarkStart w:id="308" w:name="_Toc355356765"/>
      <w:bookmarkStart w:id="309" w:name="_Toc355356930"/>
      <w:bookmarkStart w:id="310" w:name="_Toc355614111"/>
      <w:bookmarkStart w:id="311" w:name="_Toc355356589"/>
      <w:bookmarkStart w:id="312" w:name="_Toc355356766"/>
      <w:bookmarkStart w:id="313" w:name="_Toc355356931"/>
      <w:bookmarkStart w:id="314" w:name="_Toc355614112"/>
      <w:bookmarkStart w:id="315" w:name="_Toc355356590"/>
      <w:bookmarkStart w:id="316" w:name="_Toc355356767"/>
      <w:bookmarkStart w:id="317" w:name="_Toc355356932"/>
      <w:bookmarkStart w:id="318" w:name="_Toc355614113"/>
      <w:bookmarkStart w:id="319" w:name="_Toc355356591"/>
      <w:bookmarkStart w:id="320" w:name="_Toc355356768"/>
      <w:bookmarkStart w:id="321" w:name="_Toc355356933"/>
      <w:bookmarkStart w:id="322" w:name="_Toc355614114"/>
      <w:bookmarkStart w:id="323" w:name="_Toc355356592"/>
      <w:bookmarkStart w:id="324" w:name="_Toc355356769"/>
      <w:bookmarkStart w:id="325" w:name="_Toc355356934"/>
      <w:bookmarkStart w:id="326" w:name="_Toc355614115"/>
      <w:bookmarkStart w:id="327" w:name="_Toc355356593"/>
      <w:bookmarkStart w:id="328" w:name="_Toc355356770"/>
      <w:bookmarkStart w:id="329" w:name="_Toc355356935"/>
      <w:bookmarkStart w:id="330" w:name="_Toc355614116"/>
      <w:bookmarkStart w:id="331" w:name="_Toc355356594"/>
      <w:bookmarkStart w:id="332" w:name="_Toc355356771"/>
      <w:bookmarkStart w:id="333" w:name="_Toc355356936"/>
      <w:bookmarkStart w:id="334" w:name="_Toc355614117"/>
      <w:bookmarkStart w:id="335" w:name="_Toc355356596"/>
      <w:bookmarkStart w:id="336" w:name="_Toc355356773"/>
      <w:bookmarkStart w:id="337" w:name="_Toc355356938"/>
      <w:bookmarkStart w:id="338" w:name="_Toc355614119"/>
      <w:bookmarkStart w:id="339" w:name="_Toc355356597"/>
      <w:bookmarkStart w:id="340" w:name="_Toc355356774"/>
      <w:bookmarkStart w:id="341" w:name="_Toc355356939"/>
      <w:bookmarkStart w:id="342" w:name="_Toc355614120"/>
      <w:bookmarkStart w:id="343" w:name="_Toc355356598"/>
      <w:bookmarkStart w:id="344" w:name="_Toc355356775"/>
      <w:bookmarkStart w:id="345" w:name="_Toc355356940"/>
      <w:bookmarkStart w:id="346" w:name="_Toc355614121"/>
      <w:bookmarkStart w:id="347" w:name="_Toc355356600"/>
      <w:bookmarkStart w:id="348" w:name="_Toc355356777"/>
      <w:bookmarkStart w:id="349" w:name="_Toc355356942"/>
      <w:bookmarkStart w:id="350" w:name="_Toc355614123"/>
      <w:bookmarkStart w:id="351" w:name="_Toc355356603"/>
      <w:bookmarkStart w:id="352" w:name="_Toc355356780"/>
      <w:bookmarkStart w:id="353" w:name="_Toc355356945"/>
      <w:bookmarkStart w:id="354" w:name="_Toc355614126"/>
      <w:bookmarkStart w:id="355" w:name="_Toc355356604"/>
      <w:bookmarkStart w:id="356" w:name="_Toc355356781"/>
      <w:bookmarkStart w:id="357" w:name="_Toc355356946"/>
      <w:bookmarkStart w:id="358" w:name="_Toc355614127"/>
      <w:bookmarkStart w:id="359" w:name="_Toc37278703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504456">
        <w:t>Applicant requirements for the social and economic impact assessment</w:t>
      </w:r>
      <w:bookmarkEnd w:id="359"/>
    </w:p>
    <w:p w:rsidR="00A14868" w:rsidRPr="00504456" w:rsidRDefault="00A14868" w:rsidP="00A14868">
      <w:pPr>
        <w:rPr>
          <w:rFonts w:ascii="Arial" w:hAnsi="Arial" w:cs="Arial"/>
        </w:rPr>
      </w:pPr>
      <w:r w:rsidRPr="00504456">
        <w:rPr>
          <w:rFonts w:ascii="Arial" w:hAnsi="Arial" w:cs="Arial"/>
        </w:rPr>
        <w:t xml:space="preserve">It is preferable that </w:t>
      </w:r>
      <w:r w:rsidR="001B3A46" w:rsidRPr="00504456">
        <w:rPr>
          <w:rFonts w:ascii="Arial" w:hAnsi="Arial" w:cs="Arial"/>
        </w:rPr>
        <w:t>a</w:t>
      </w:r>
      <w:r w:rsidRPr="00504456">
        <w:rPr>
          <w:rFonts w:ascii="Arial" w:hAnsi="Arial" w:cs="Arial"/>
        </w:rPr>
        <w:t xml:space="preserve">pplicants address the planning issues of the proposal and obtain a planning permit from the City of Boroondara (under the provisions of the </w:t>
      </w:r>
      <w:r w:rsidRPr="00504456">
        <w:rPr>
          <w:rFonts w:ascii="Arial" w:hAnsi="Arial" w:cs="Arial"/>
          <w:i/>
        </w:rPr>
        <w:t>Planning and Environment Act 1987</w:t>
      </w:r>
      <w:r w:rsidRPr="00504456">
        <w:rPr>
          <w:rFonts w:ascii="Arial" w:hAnsi="Arial" w:cs="Arial"/>
        </w:rPr>
        <w:t xml:space="preserve">) prior to the submission of a gaming </w:t>
      </w:r>
      <w:proofErr w:type="spellStart"/>
      <w:r w:rsidR="00AE73E9" w:rsidRPr="00504456">
        <w:rPr>
          <w:rFonts w:ascii="Arial" w:hAnsi="Arial" w:cs="Arial"/>
        </w:rPr>
        <w:t>licence</w:t>
      </w:r>
      <w:proofErr w:type="spellEnd"/>
      <w:r w:rsidR="00AE73E9" w:rsidRPr="00504456">
        <w:rPr>
          <w:rFonts w:ascii="Arial" w:hAnsi="Arial" w:cs="Arial"/>
        </w:rPr>
        <w:t xml:space="preserve"> </w:t>
      </w:r>
      <w:r w:rsidRPr="00504456">
        <w:rPr>
          <w:rFonts w:ascii="Arial" w:hAnsi="Arial" w:cs="Arial"/>
        </w:rPr>
        <w:t xml:space="preserve">application to the </w:t>
      </w:r>
      <w:proofErr w:type="spellStart"/>
      <w:r w:rsidRPr="00504456">
        <w:rPr>
          <w:rFonts w:ascii="Arial" w:hAnsi="Arial" w:cs="Arial"/>
        </w:rPr>
        <w:t>VCGLR</w:t>
      </w:r>
      <w:proofErr w:type="spellEnd"/>
      <w:r w:rsidRPr="00504456">
        <w:rPr>
          <w:rFonts w:ascii="Arial" w:hAnsi="Arial" w:cs="Arial"/>
        </w:rPr>
        <w:t>.</w:t>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rPr>
        <w:t xml:space="preserve">Any application to the City of Boroondara for </w:t>
      </w:r>
      <w:r w:rsidR="008D0CDA" w:rsidRPr="00504456">
        <w:rPr>
          <w:rFonts w:ascii="Arial" w:hAnsi="Arial" w:cs="Arial"/>
        </w:rPr>
        <w:t xml:space="preserve">a </w:t>
      </w:r>
      <w:r w:rsidRPr="00504456">
        <w:rPr>
          <w:rFonts w:ascii="Arial" w:hAnsi="Arial" w:cs="Arial"/>
        </w:rPr>
        <w:t xml:space="preserve">planning permit to establish a new </w:t>
      </w:r>
      <w:proofErr w:type="spellStart"/>
      <w:r w:rsidRPr="00504456">
        <w:rPr>
          <w:rFonts w:ascii="Arial" w:hAnsi="Arial" w:cs="Arial"/>
        </w:rPr>
        <w:t>EGM</w:t>
      </w:r>
      <w:proofErr w:type="spellEnd"/>
      <w:r w:rsidRPr="00504456">
        <w:rPr>
          <w:rFonts w:ascii="Arial" w:hAnsi="Arial" w:cs="Arial"/>
        </w:rPr>
        <w:t xml:space="preserve"> venue, or to increase </w:t>
      </w:r>
      <w:proofErr w:type="spellStart"/>
      <w:r w:rsidRPr="00504456">
        <w:rPr>
          <w:rFonts w:ascii="Arial" w:hAnsi="Arial" w:cs="Arial"/>
        </w:rPr>
        <w:t>EGM</w:t>
      </w:r>
      <w:proofErr w:type="spellEnd"/>
      <w:r w:rsidRPr="00504456">
        <w:rPr>
          <w:rFonts w:ascii="Arial" w:hAnsi="Arial" w:cs="Arial"/>
        </w:rPr>
        <w:t xml:space="preserve"> numbers in existing venues, will be required to include a robust impact assessment of the social and economic benefits and risks of the proposal. Factors to be included in this assessment are outlined in </w:t>
      </w:r>
      <w:r w:rsidR="002D1121" w:rsidRPr="00504456">
        <w:rPr>
          <w:rFonts w:ascii="Arial" w:hAnsi="Arial" w:cs="Arial"/>
        </w:rPr>
        <w:t>t</w:t>
      </w:r>
      <w:r w:rsidRPr="00504456">
        <w:rPr>
          <w:rFonts w:ascii="Arial" w:hAnsi="Arial" w:cs="Arial"/>
        </w:rPr>
        <w:t>able 2</w:t>
      </w:r>
      <w:r w:rsidR="00DF0AAB" w:rsidRPr="00504456">
        <w:rPr>
          <w:rFonts w:ascii="Arial" w:hAnsi="Arial" w:cs="Arial"/>
        </w:rPr>
        <w:t xml:space="preserve"> </w:t>
      </w:r>
      <w:r w:rsidR="0082468E" w:rsidRPr="00504456">
        <w:rPr>
          <w:rFonts w:ascii="Arial" w:hAnsi="Arial" w:cs="Arial"/>
        </w:rPr>
        <w:t>on the following page</w:t>
      </w:r>
      <w:r w:rsidRPr="00504456">
        <w:rPr>
          <w:rFonts w:ascii="Arial" w:hAnsi="Arial" w:cs="Arial"/>
        </w:rPr>
        <w:t xml:space="preserve">. </w:t>
      </w:r>
      <w:r w:rsidR="00E30AD9" w:rsidRPr="00504456">
        <w:rPr>
          <w:rFonts w:ascii="Arial" w:hAnsi="Arial" w:cs="Arial"/>
        </w:rPr>
        <w:t>This information will also be used to inform Council's social and economic impact assessment of the gaming</w:t>
      </w:r>
      <w:r w:rsidR="00AE73E9" w:rsidRPr="00504456">
        <w:rPr>
          <w:rFonts w:ascii="Arial" w:hAnsi="Arial" w:cs="Arial"/>
        </w:rPr>
        <w:t xml:space="preserve"> </w:t>
      </w:r>
      <w:proofErr w:type="spellStart"/>
      <w:r w:rsidR="00AE73E9" w:rsidRPr="00504456">
        <w:rPr>
          <w:rFonts w:ascii="Arial" w:hAnsi="Arial" w:cs="Arial"/>
        </w:rPr>
        <w:lastRenderedPageBreak/>
        <w:t>licence</w:t>
      </w:r>
      <w:proofErr w:type="spellEnd"/>
      <w:r w:rsidR="00AE73E9" w:rsidRPr="00504456">
        <w:rPr>
          <w:rFonts w:ascii="Arial" w:hAnsi="Arial" w:cs="Arial"/>
        </w:rPr>
        <w:t xml:space="preserve"> application</w:t>
      </w:r>
      <w:r w:rsidR="00E30AD9" w:rsidRPr="00504456">
        <w:rPr>
          <w:rFonts w:ascii="Arial" w:hAnsi="Arial" w:cs="Arial"/>
        </w:rPr>
        <w:t xml:space="preserve"> to the </w:t>
      </w:r>
      <w:proofErr w:type="spellStart"/>
      <w:r w:rsidR="00E30AD9" w:rsidRPr="00504456">
        <w:rPr>
          <w:rFonts w:ascii="Arial" w:hAnsi="Arial" w:cs="Arial"/>
        </w:rPr>
        <w:t>VCGLR</w:t>
      </w:r>
      <w:proofErr w:type="spellEnd"/>
      <w:r w:rsidR="00E30AD9" w:rsidRPr="00504456">
        <w:rPr>
          <w:rFonts w:ascii="Arial" w:hAnsi="Arial" w:cs="Arial"/>
        </w:rPr>
        <w:t xml:space="preserve">. </w:t>
      </w:r>
      <w:r w:rsidRPr="00504456">
        <w:rPr>
          <w:rFonts w:ascii="Arial" w:hAnsi="Arial" w:cs="Arial"/>
          <w:color w:val="000000"/>
        </w:rPr>
        <w:t xml:space="preserve">Council will not support any </w:t>
      </w:r>
      <w:r w:rsidR="00E30AD9" w:rsidRPr="00504456">
        <w:rPr>
          <w:rFonts w:ascii="Arial" w:hAnsi="Arial" w:cs="Arial"/>
          <w:color w:val="000000"/>
        </w:rPr>
        <w:t xml:space="preserve">planning </w:t>
      </w:r>
      <w:r w:rsidR="00AE73E9" w:rsidRPr="00504456">
        <w:rPr>
          <w:rFonts w:ascii="Arial" w:hAnsi="Arial" w:cs="Arial"/>
          <w:color w:val="000000"/>
        </w:rPr>
        <w:t>permit application</w:t>
      </w:r>
      <w:r w:rsidRPr="00504456">
        <w:rPr>
          <w:rFonts w:ascii="Arial" w:hAnsi="Arial" w:cs="Arial"/>
          <w:color w:val="000000"/>
        </w:rPr>
        <w:t xml:space="preserve"> that does not include the information requested in </w:t>
      </w:r>
      <w:r w:rsidR="002D1121" w:rsidRPr="00504456">
        <w:rPr>
          <w:rFonts w:ascii="Arial" w:hAnsi="Arial" w:cs="Arial"/>
          <w:color w:val="000000"/>
        </w:rPr>
        <w:t>t</w:t>
      </w:r>
      <w:r w:rsidRPr="00504456">
        <w:rPr>
          <w:rFonts w:ascii="Arial" w:hAnsi="Arial" w:cs="Arial"/>
          <w:color w:val="000000"/>
        </w:rPr>
        <w:t>able 2.</w:t>
      </w:r>
    </w:p>
    <w:p w:rsidR="00A14868" w:rsidRPr="00504456" w:rsidRDefault="00A14868" w:rsidP="00A14868">
      <w:pPr>
        <w:rPr>
          <w:rFonts w:ascii="Arial" w:hAnsi="Arial" w:cs="Arial"/>
        </w:rPr>
      </w:pPr>
    </w:p>
    <w:p w:rsidR="00A14868" w:rsidRPr="00504456" w:rsidRDefault="00A14868" w:rsidP="00A14868">
      <w:pPr>
        <w:rPr>
          <w:rFonts w:ascii="Arial" w:hAnsi="Arial" w:cs="Arial"/>
        </w:rPr>
      </w:pPr>
      <w:r w:rsidRPr="00504456">
        <w:rPr>
          <w:rFonts w:ascii="Arial" w:hAnsi="Arial" w:cs="Arial"/>
          <w:b/>
        </w:rPr>
        <w:t>Table 2</w:t>
      </w:r>
      <w:r w:rsidRPr="00504456">
        <w:rPr>
          <w:rFonts w:ascii="Arial" w:hAnsi="Arial" w:cs="Arial"/>
        </w:rPr>
        <w:t xml:space="preserve">: Factors to be included in the social and economic impact assessment </w:t>
      </w:r>
      <w:r w:rsidR="00E30AD9" w:rsidRPr="00504456">
        <w:rPr>
          <w:rFonts w:ascii="Arial" w:hAnsi="Arial" w:cs="Arial"/>
        </w:rPr>
        <w:t xml:space="preserve">for a planning </w:t>
      </w:r>
      <w:r w:rsidR="00AE73E9" w:rsidRPr="00504456">
        <w:rPr>
          <w:rFonts w:ascii="Arial" w:hAnsi="Arial" w:cs="Arial"/>
        </w:rPr>
        <w:t>permit application</w:t>
      </w:r>
      <w:r w:rsidR="00CF2DD9" w:rsidRPr="00504456">
        <w:rPr>
          <w:rFonts w:ascii="Arial" w:hAnsi="Arial" w:cs="Arial"/>
        </w:rPr>
        <w:t xml:space="preserve"> </w:t>
      </w:r>
      <w:r w:rsidR="00E30AD9" w:rsidRPr="00504456">
        <w:rPr>
          <w:rFonts w:ascii="Arial" w:hAnsi="Arial" w:cs="Arial"/>
        </w:rPr>
        <w:t xml:space="preserve">for the use and installation of </w:t>
      </w:r>
      <w:proofErr w:type="spellStart"/>
      <w:r w:rsidR="00E30AD9" w:rsidRPr="00504456">
        <w:rPr>
          <w:rFonts w:ascii="Arial" w:hAnsi="Arial" w:cs="Arial"/>
        </w:rPr>
        <w:t>EGMs</w:t>
      </w:r>
      <w:proofErr w:type="spellEnd"/>
      <w:r w:rsidR="00E30AD9" w:rsidRPr="00504456">
        <w:rPr>
          <w:rFonts w:ascii="Arial" w:hAnsi="Arial" w:cs="Arial"/>
        </w:rPr>
        <w:t xml:space="preserve"> </w:t>
      </w:r>
    </w:p>
    <w:p w:rsidR="00036CC5" w:rsidRPr="00504456" w:rsidRDefault="00036CC5" w:rsidP="00A14868">
      <w:pPr>
        <w:rPr>
          <w:rFonts w:ascii="Arial" w:hAnsi="Arial" w:cs="Arial"/>
        </w:rPr>
      </w:pPr>
    </w:p>
    <w:tbl>
      <w:tblPr>
        <w:tblW w:w="0" w:type="auto"/>
        <w:tblBorders>
          <w:top w:val="single" w:sz="8" w:space="0" w:color="9BBB59"/>
          <w:left w:val="single" w:sz="8" w:space="0" w:color="9BBB59"/>
          <w:bottom w:val="single" w:sz="8" w:space="0" w:color="9BBB59"/>
          <w:right w:val="single" w:sz="8" w:space="0" w:color="9BBB59"/>
          <w:insideH w:val="single" w:sz="6" w:space="0" w:color="9BBB59"/>
          <w:insideV w:val="single" w:sz="6" w:space="0" w:color="9BBB59"/>
        </w:tblBorders>
        <w:tblLayout w:type="fixed"/>
        <w:tblLook w:val="01A0" w:firstRow="1" w:lastRow="0" w:firstColumn="1" w:lastColumn="1" w:noHBand="0" w:noVBand="0"/>
      </w:tblPr>
      <w:tblGrid>
        <w:gridCol w:w="2802"/>
        <w:gridCol w:w="6804"/>
      </w:tblGrid>
      <w:tr w:rsidR="00A14868" w:rsidRPr="00504456" w:rsidTr="00F03287">
        <w:tc>
          <w:tcPr>
            <w:tcW w:w="2802" w:type="dxa"/>
            <w:shd w:val="clear" w:color="auto" w:fill="9BBB59"/>
          </w:tcPr>
          <w:p w:rsidR="00A14868" w:rsidRPr="00504456" w:rsidRDefault="00A14868" w:rsidP="00F03287">
            <w:pPr>
              <w:tabs>
                <w:tab w:val="center" w:pos="4320"/>
                <w:tab w:val="right" w:pos="8640"/>
              </w:tabs>
              <w:jc w:val="center"/>
              <w:rPr>
                <w:rStyle w:val="Bold"/>
                <w:rFonts w:ascii="Arial" w:eastAsia="Calibri" w:hAnsi="Arial" w:cs="Arial"/>
                <w:bCs/>
                <w:color w:val="FFFFFF"/>
                <w:sz w:val="26"/>
                <w:szCs w:val="26"/>
              </w:rPr>
            </w:pPr>
            <w:r w:rsidRPr="00504456">
              <w:rPr>
                <w:rStyle w:val="Bold"/>
                <w:rFonts w:ascii="Arial" w:eastAsia="Calibri" w:hAnsi="Arial" w:cs="Arial"/>
                <w:bCs/>
                <w:color w:val="FFFFFF"/>
                <w:sz w:val="26"/>
                <w:szCs w:val="26"/>
              </w:rPr>
              <w:t>Factor</w:t>
            </w:r>
          </w:p>
        </w:tc>
        <w:tc>
          <w:tcPr>
            <w:tcW w:w="6804" w:type="dxa"/>
            <w:shd w:val="clear" w:color="auto" w:fill="9BBB59"/>
          </w:tcPr>
          <w:p w:rsidR="00A14868" w:rsidRPr="00504456" w:rsidRDefault="00A14868" w:rsidP="00F03287">
            <w:pPr>
              <w:tabs>
                <w:tab w:val="center" w:pos="4320"/>
                <w:tab w:val="right" w:pos="8640"/>
              </w:tabs>
              <w:jc w:val="center"/>
              <w:rPr>
                <w:rStyle w:val="Bold"/>
                <w:rFonts w:ascii="Arial" w:eastAsia="Calibri" w:hAnsi="Arial" w:cs="Arial"/>
                <w:bCs/>
                <w:color w:val="FFFFFF"/>
                <w:sz w:val="26"/>
                <w:szCs w:val="26"/>
              </w:rPr>
            </w:pPr>
            <w:r w:rsidRPr="00504456">
              <w:rPr>
                <w:rStyle w:val="Bold"/>
                <w:rFonts w:ascii="Arial" w:eastAsia="Calibri" w:hAnsi="Arial" w:cs="Arial"/>
                <w:bCs/>
                <w:color w:val="FFFFFF"/>
                <w:sz w:val="26"/>
                <w:szCs w:val="26"/>
              </w:rPr>
              <w:t>Information required</w:t>
            </w:r>
          </w:p>
        </w:tc>
      </w:tr>
      <w:tr w:rsidR="00A14868" w:rsidRPr="00504456" w:rsidTr="00F03287">
        <w:tc>
          <w:tcPr>
            <w:tcW w:w="2802" w:type="dxa"/>
          </w:tcPr>
          <w:p w:rsidR="00A14868" w:rsidRPr="00504456" w:rsidRDefault="00A14868" w:rsidP="00F03287">
            <w:pPr>
              <w:pStyle w:val="BodyText"/>
              <w:rPr>
                <w:sz w:val="24"/>
              </w:rPr>
            </w:pPr>
            <w:r w:rsidRPr="00504456">
              <w:rPr>
                <w:sz w:val="24"/>
              </w:rPr>
              <w:t>Locational features</w:t>
            </w:r>
          </w:p>
          <w:p w:rsidR="00A14868" w:rsidRPr="00504456" w:rsidRDefault="00A14868" w:rsidP="00F03287">
            <w:pPr>
              <w:pStyle w:val="BodyText"/>
              <w:rPr>
                <w:sz w:val="24"/>
              </w:rPr>
            </w:pPr>
          </w:p>
        </w:tc>
        <w:tc>
          <w:tcPr>
            <w:tcW w:w="6804" w:type="dxa"/>
          </w:tcPr>
          <w:p w:rsidR="00A14868" w:rsidRPr="00504456" w:rsidRDefault="00A14868" w:rsidP="00F03287">
            <w:pPr>
              <w:pStyle w:val="BodyText"/>
              <w:numPr>
                <w:ilvl w:val="0"/>
                <w:numId w:val="4"/>
              </w:numPr>
              <w:rPr>
                <w:color w:val="000000"/>
                <w:sz w:val="24"/>
              </w:rPr>
            </w:pPr>
            <w:r w:rsidRPr="00504456">
              <w:rPr>
                <w:color w:val="000000"/>
                <w:sz w:val="24"/>
              </w:rPr>
              <w:t xml:space="preserve">Description of the gambling venue and its proposed location </w:t>
            </w:r>
          </w:p>
          <w:p w:rsidR="00A14868" w:rsidRPr="00504456" w:rsidRDefault="00A14868" w:rsidP="00F03287">
            <w:pPr>
              <w:pStyle w:val="BodyText"/>
              <w:numPr>
                <w:ilvl w:val="0"/>
                <w:numId w:val="4"/>
              </w:numPr>
              <w:rPr>
                <w:color w:val="000000"/>
                <w:sz w:val="24"/>
              </w:rPr>
            </w:pPr>
            <w:r w:rsidRPr="00504456">
              <w:rPr>
                <w:color w:val="000000"/>
                <w:sz w:val="24"/>
              </w:rPr>
              <w:t xml:space="preserve">Details about the existing and proposed distribution of </w:t>
            </w:r>
            <w:proofErr w:type="spellStart"/>
            <w:r w:rsidRPr="00504456">
              <w:rPr>
                <w:color w:val="000000"/>
                <w:sz w:val="24"/>
              </w:rPr>
              <w:t>EGMs</w:t>
            </w:r>
            <w:proofErr w:type="spellEnd"/>
            <w:r w:rsidRPr="00504456">
              <w:rPr>
                <w:color w:val="000000"/>
                <w:sz w:val="24"/>
              </w:rPr>
              <w:t xml:space="preserve"> in the municipality</w:t>
            </w:r>
          </w:p>
          <w:p w:rsidR="00A14868" w:rsidRPr="00504456" w:rsidRDefault="00A14868" w:rsidP="001B3A46">
            <w:pPr>
              <w:pStyle w:val="BodyText"/>
              <w:numPr>
                <w:ilvl w:val="0"/>
                <w:numId w:val="8"/>
              </w:numPr>
              <w:rPr>
                <w:color w:val="FF0000"/>
                <w:sz w:val="24"/>
              </w:rPr>
            </w:pPr>
            <w:r w:rsidRPr="00504456">
              <w:rPr>
                <w:color w:val="000000"/>
                <w:sz w:val="24"/>
              </w:rPr>
              <w:t xml:space="preserve">If it is proposed to move </w:t>
            </w:r>
            <w:proofErr w:type="spellStart"/>
            <w:r w:rsidRPr="00504456">
              <w:rPr>
                <w:color w:val="000000"/>
                <w:sz w:val="24"/>
              </w:rPr>
              <w:t>EGMs</w:t>
            </w:r>
            <w:proofErr w:type="spellEnd"/>
            <w:r w:rsidRPr="00504456">
              <w:rPr>
                <w:color w:val="000000"/>
                <w:sz w:val="24"/>
              </w:rPr>
              <w:t xml:space="preserve"> from one part of the municipality to another, details of the relative social and economic differences between the two parts by measure of </w:t>
            </w:r>
            <w:r w:rsidR="001B3A46" w:rsidRPr="00504456">
              <w:rPr>
                <w:color w:val="000000"/>
                <w:sz w:val="24"/>
              </w:rPr>
              <w:t>s</w:t>
            </w:r>
            <w:r w:rsidRPr="00504456">
              <w:rPr>
                <w:color w:val="000000"/>
                <w:sz w:val="24"/>
              </w:rPr>
              <w:t xml:space="preserve">ocial-economic </w:t>
            </w:r>
            <w:r w:rsidR="001B3A46" w:rsidRPr="00504456">
              <w:rPr>
                <w:color w:val="000000"/>
                <w:sz w:val="24"/>
              </w:rPr>
              <w:t>i</w:t>
            </w:r>
            <w:r w:rsidRPr="00504456">
              <w:rPr>
                <w:color w:val="000000"/>
                <w:sz w:val="24"/>
              </w:rPr>
              <w:t xml:space="preserve">ndexes for </w:t>
            </w:r>
            <w:r w:rsidR="001B3A46" w:rsidRPr="00504456">
              <w:rPr>
                <w:color w:val="000000"/>
                <w:sz w:val="24"/>
              </w:rPr>
              <w:t>a</w:t>
            </w:r>
            <w:r w:rsidRPr="00504456">
              <w:rPr>
                <w:color w:val="000000"/>
                <w:sz w:val="24"/>
              </w:rPr>
              <w:t>reas (</w:t>
            </w:r>
            <w:proofErr w:type="spellStart"/>
            <w:r w:rsidRPr="00504456">
              <w:rPr>
                <w:color w:val="000000"/>
                <w:sz w:val="24"/>
              </w:rPr>
              <w:t>SEIFA</w:t>
            </w:r>
            <w:proofErr w:type="spellEnd"/>
            <w:r w:rsidRPr="00504456">
              <w:rPr>
                <w:color w:val="000000"/>
                <w:sz w:val="24"/>
              </w:rPr>
              <w:t xml:space="preserve">) indices, ABS data and other relevant data. An explanation as to why the </w:t>
            </w:r>
            <w:proofErr w:type="spellStart"/>
            <w:r w:rsidRPr="00504456">
              <w:rPr>
                <w:color w:val="000000"/>
                <w:sz w:val="24"/>
              </w:rPr>
              <w:t>EGMs</w:t>
            </w:r>
            <w:proofErr w:type="spellEnd"/>
            <w:r w:rsidRPr="00504456">
              <w:rPr>
                <w:color w:val="000000"/>
                <w:sz w:val="24"/>
              </w:rPr>
              <w:t xml:space="preserve"> are being transferred is to be provided.</w:t>
            </w:r>
            <w:r w:rsidRPr="00504456">
              <w:rPr>
                <w:color w:val="FF0000"/>
                <w:sz w:val="24"/>
              </w:rPr>
              <w:t xml:space="preserve"> </w:t>
            </w:r>
          </w:p>
        </w:tc>
      </w:tr>
      <w:tr w:rsidR="00A14868" w:rsidRPr="00504456" w:rsidTr="00F03287">
        <w:tc>
          <w:tcPr>
            <w:tcW w:w="2802" w:type="dxa"/>
          </w:tcPr>
          <w:p w:rsidR="00A14868" w:rsidRPr="00504456" w:rsidRDefault="00A14868" w:rsidP="00F03287">
            <w:pPr>
              <w:pStyle w:val="BodyText"/>
              <w:rPr>
                <w:sz w:val="24"/>
              </w:rPr>
            </w:pPr>
            <w:r w:rsidRPr="00504456">
              <w:rPr>
                <w:color w:val="000000"/>
                <w:sz w:val="24"/>
              </w:rPr>
              <w:t>Patron profile</w:t>
            </w:r>
          </w:p>
        </w:tc>
        <w:tc>
          <w:tcPr>
            <w:tcW w:w="6804" w:type="dxa"/>
          </w:tcPr>
          <w:p w:rsidR="00A14868" w:rsidRPr="00504456" w:rsidRDefault="00A14868" w:rsidP="00F03287">
            <w:pPr>
              <w:pStyle w:val="BodyText"/>
              <w:numPr>
                <w:ilvl w:val="0"/>
                <w:numId w:val="7"/>
              </w:numPr>
              <w:rPr>
                <w:color w:val="000000"/>
                <w:sz w:val="24"/>
              </w:rPr>
            </w:pPr>
            <w:r w:rsidRPr="00504456">
              <w:rPr>
                <w:color w:val="000000"/>
                <w:sz w:val="24"/>
              </w:rPr>
              <w:t>Social and demographic profiles of current and/or anticipated patrons of the gambling venue including how the profile and conclusions about patrons were reached. Rationale for the patron catchment based on established patterns of movement by local residents and visitors. This information could be collected by undertaking a count of pedestrians outside the venue.</w:t>
            </w:r>
          </w:p>
          <w:p w:rsidR="00A14868" w:rsidRPr="00504456" w:rsidRDefault="00A14868" w:rsidP="00F03287">
            <w:pPr>
              <w:pStyle w:val="BodyText"/>
              <w:numPr>
                <w:ilvl w:val="0"/>
                <w:numId w:val="5"/>
              </w:numPr>
              <w:rPr>
                <w:color w:val="FF0000"/>
                <w:sz w:val="24"/>
              </w:rPr>
            </w:pPr>
            <w:r w:rsidRPr="00504456">
              <w:rPr>
                <w:color w:val="000000"/>
                <w:sz w:val="24"/>
              </w:rPr>
              <w:t>Supporting evidence (such as analysis of attendance records) of current patronage and anticipated patronage.</w:t>
            </w:r>
          </w:p>
        </w:tc>
      </w:tr>
      <w:tr w:rsidR="00A14868" w:rsidRPr="00504456" w:rsidTr="00F03287">
        <w:tc>
          <w:tcPr>
            <w:tcW w:w="2802" w:type="dxa"/>
          </w:tcPr>
          <w:p w:rsidR="00A14868" w:rsidRPr="00504456" w:rsidRDefault="00A14868" w:rsidP="00F03287">
            <w:pPr>
              <w:pStyle w:val="BodyText"/>
              <w:rPr>
                <w:sz w:val="24"/>
              </w:rPr>
            </w:pPr>
            <w:r w:rsidRPr="00504456">
              <w:rPr>
                <w:color w:val="000000"/>
                <w:sz w:val="24"/>
              </w:rPr>
              <w:t>Social profile</w:t>
            </w:r>
          </w:p>
        </w:tc>
        <w:tc>
          <w:tcPr>
            <w:tcW w:w="6804" w:type="dxa"/>
          </w:tcPr>
          <w:p w:rsidR="00A14868" w:rsidRPr="00504456" w:rsidRDefault="00A14868" w:rsidP="00B222ED">
            <w:pPr>
              <w:pStyle w:val="BodyText"/>
              <w:numPr>
                <w:ilvl w:val="0"/>
                <w:numId w:val="5"/>
              </w:numPr>
              <w:rPr>
                <w:color w:val="FF0000"/>
                <w:sz w:val="24"/>
              </w:rPr>
            </w:pPr>
            <w:r w:rsidRPr="00504456">
              <w:rPr>
                <w:color w:val="000000"/>
                <w:sz w:val="24"/>
              </w:rPr>
              <w:t>Detailed profile of the population in the catchment area</w:t>
            </w:r>
            <w:r w:rsidR="007710C0" w:rsidRPr="00504456">
              <w:rPr>
                <w:color w:val="000000"/>
                <w:sz w:val="24"/>
              </w:rPr>
              <w:t>,</w:t>
            </w:r>
            <w:r w:rsidR="00B222ED" w:rsidRPr="00504456">
              <w:rPr>
                <w:color w:val="000000"/>
                <w:sz w:val="24"/>
              </w:rPr>
              <w:t xml:space="preserve"> </w:t>
            </w:r>
            <w:r w:rsidR="005E4597" w:rsidRPr="00504456">
              <w:rPr>
                <w:color w:val="000000"/>
                <w:sz w:val="24"/>
              </w:rPr>
              <w:t>including identification of any pockets of disadvantage within the catchment area</w:t>
            </w:r>
            <w:r w:rsidR="00B555E4" w:rsidRPr="00504456">
              <w:rPr>
                <w:color w:val="000000"/>
                <w:sz w:val="24"/>
              </w:rPr>
              <w:t>. Include</w:t>
            </w:r>
            <w:r w:rsidRPr="00504456">
              <w:rPr>
                <w:color w:val="000000"/>
                <w:sz w:val="24"/>
              </w:rPr>
              <w:t xml:space="preserve"> the </w:t>
            </w:r>
            <w:proofErr w:type="spellStart"/>
            <w:r w:rsidRPr="00504456">
              <w:rPr>
                <w:color w:val="000000"/>
                <w:sz w:val="24"/>
              </w:rPr>
              <w:t>SEIFA</w:t>
            </w:r>
            <w:proofErr w:type="spellEnd"/>
            <w:r w:rsidRPr="00504456">
              <w:rPr>
                <w:color w:val="000000"/>
                <w:sz w:val="24"/>
              </w:rPr>
              <w:t xml:space="preserve"> scores, population profile, projected growth, housing affordability and housing stress, income levels, employment and unemployment rates, educational retention and attainment levels, number of social security recipients (if available), levels of demand for financial aid/social support services (if available). Appropriate comparative measures to be provided to assess the relative vulnerabilities and strengths of the local community.</w:t>
            </w:r>
          </w:p>
        </w:tc>
      </w:tr>
      <w:tr w:rsidR="00A14868" w:rsidRPr="00504456" w:rsidTr="00F03287">
        <w:tc>
          <w:tcPr>
            <w:tcW w:w="2802" w:type="dxa"/>
          </w:tcPr>
          <w:p w:rsidR="00A14868" w:rsidRPr="00504456" w:rsidRDefault="00A14868" w:rsidP="00F03287">
            <w:pPr>
              <w:pStyle w:val="BodyText"/>
              <w:rPr>
                <w:color w:val="000000"/>
                <w:sz w:val="24"/>
              </w:rPr>
            </w:pPr>
            <w:r w:rsidRPr="00504456">
              <w:rPr>
                <w:color w:val="000000"/>
                <w:sz w:val="24"/>
              </w:rPr>
              <w:t>Vulnerability and supports</w:t>
            </w:r>
          </w:p>
        </w:tc>
        <w:tc>
          <w:tcPr>
            <w:tcW w:w="6804" w:type="dxa"/>
          </w:tcPr>
          <w:p w:rsidR="00A14868" w:rsidRPr="00504456" w:rsidRDefault="00A14868" w:rsidP="00F03287">
            <w:pPr>
              <w:pStyle w:val="BodyText"/>
              <w:numPr>
                <w:ilvl w:val="0"/>
                <w:numId w:val="7"/>
              </w:numPr>
              <w:rPr>
                <w:color w:val="000000"/>
                <w:sz w:val="24"/>
              </w:rPr>
            </w:pPr>
            <w:r w:rsidRPr="00504456">
              <w:rPr>
                <w:color w:val="000000"/>
                <w:sz w:val="24"/>
              </w:rPr>
              <w:t>Description of currently available support services including: specific problem gambling support services, financial counse</w:t>
            </w:r>
            <w:r w:rsidR="000169DD" w:rsidRPr="00504456">
              <w:rPr>
                <w:color w:val="000000"/>
                <w:sz w:val="24"/>
              </w:rPr>
              <w:t>l</w:t>
            </w:r>
            <w:r w:rsidRPr="00504456">
              <w:rPr>
                <w:color w:val="000000"/>
                <w:sz w:val="24"/>
              </w:rPr>
              <w:t xml:space="preserve">ling, social and financial support services, general psychological support services and their location in relation to the anticipated patron catchment area. </w:t>
            </w:r>
          </w:p>
          <w:p w:rsidR="00A14868" w:rsidRPr="00504456" w:rsidRDefault="00A14868" w:rsidP="00F03287">
            <w:pPr>
              <w:pStyle w:val="BodyText"/>
              <w:numPr>
                <w:ilvl w:val="0"/>
                <w:numId w:val="7"/>
              </w:numPr>
              <w:rPr>
                <w:color w:val="000000"/>
                <w:sz w:val="24"/>
              </w:rPr>
            </w:pPr>
            <w:r w:rsidRPr="00504456">
              <w:rPr>
                <w:color w:val="000000"/>
                <w:sz w:val="24"/>
              </w:rPr>
              <w:lastRenderedPageBreak/>
              <w:t xml:space="preserve">Level of current demand for gambling help services, financial counselling, material and financial aid (if available). </w:t>
            </w:r>
          </w:p>
        </w:tc>
      </w:tr>
      <w:tr w:rsidR="00A14868" w:rsidRPr="00504456" w:rsidTr="00F03287">
        <w:tc>
          <w:tcPr>
            <w:tcW w:w="2802" w:type="dxa"/>
          </w:tcPr>
          <w:p w:rsidR="00A14868" w:rsidRPr="00504456" w:rsidRDefault="00A14868" w:rsidP="00F03287">
            <w:pPr>
              <w:pStyle w:val="BodyText"/>
              <w:rPr>
                <w:sz w:val="24"/>
              </w:rPr>
            </w:pPr>
            <w:r w:rsidRPr="00504456">
              <w:rPr>
                <w:sz w:val="24"/>
              </w:rPr>
              <w:lastRenderedPageBreak/>
              <w:t>Community and stakeholders</w:t>
            </w:r>
          </w:p>
          <w:p w:rsidR="00A14868" w:rsidRPr="00504456" w:rsidRDefault="00A14868" w:rsidP="00F03287">
            <w:pPr>
              <w:pStyle w:val="BodyText"/>
              <w:rPr>
                <w:color w:val="000000"/>
                <w:sz w:val="24"/>
              </w:rPr>
            </w:pPr>
          </w:p>
        </w:tc>
        <w:tc>
          <w:tcPr>
            <w:tcW w:w="6804" w:type="dxa"/>
          </w:tcPr>
          <w:p w:rsidR="00A14868" w:rsidRPr="00504456" w:rsidRDefault="00A14868" w:rsidP="00F03287">
            <w:pPr>
              <w:pStyle w:val="BodyText"/>
              <w:numPr>
                <w:ilvl w:val="0"/>
                <w:numId w:val="6"/>
              </w:numPr>
              <w:rPr>
                <w:color w:val="000000"/>
                <w:sz w:val="24"/>
              </w:rPr>
            </w:pPr>
            <w:r w:rsidRPr="00504456">
              <w:rPr>
                <w:color w:val="000000"/>
                <w:sz w:val="24"/>
              </w:rPr>
              <w:t xml:space="preserve">Evidence of the community's attitude towards the application for </w:t>
            </w:r>
            <w:proofErr w:type="spellStart"/>
            <w:r w:rsidRPr="00504456">
              <w:rPr>
                <w:color w:val="000000"/>
                <w:sz w:val="24"/>
              </w:rPr>
              <w:t>EGMs</w:t>
            </w:r>
            <w:proofErr w:type="spellEnd"/>
            <w:r w:rsidRPr="00504456">
              <w:rPr>
                <w:color w:val="000000"/>
                <w:sz w:val="24"/>
              </w:rPr>
              <w:t xml:space="preserve"> in the municipality broadly and the local area more specifically. The </w:t>
            </w:r>
            <w:r w:rsidR="000169DD" w:rsidRPr="00504456">
              <w:rPr>
                <w:color w:val="000000"/>
                <w:sz w:val="24"/>
              </w:rPr>
              <w:t>a</w:t>
            </w:r>
            <w:r w:rsidRPr="00504456">
              <w:rPr>
                <w:color w:val="000000"/>
                <w:sz w:val="24"/>
              </w:rPr>
              <w:t xml:space="preserve">pplicant needs to provide evidence of this attitude by conducting a technically sound and robust attitudinal survey of patrons of the premises and of the community living within </w:t>
            </w:r>
            <w:r w:rsidR="005E4597" w:rsidRPr="00504456">
              <w:rPr>
                <w:color w:val="000000"/>
                <w:sz w:val="24"/>
              </w:rPr>
              <w:t>the catchment area</w:t>
            </w:r>
            <w:r w:rsidRPr="00504456">
              <w:rPr>
                <w:color w:val="000000"/>
                <w:sz w:val="24"/>
              </w:rPr>
              <w:t xml:space="preserve">. </w:t>
            </w:r>
          </w:p>
          <w:p w:rsidR="00A14868" w:rsidRPr="00504456" w:rsidRDefault="00A14868" w:rsidP="00F03287">
            <w:pPr>
              <w:pStyle w:val="BodyText"/>
              <w:numPr>
                <w:ilvl w:val="0"/>
                <w:numId w:val="7"/>
              </w:numPr>
              <w:rPr>
                <w:color w:val="000000"/>
                <w:sz w:val="24"/>
              </w:rPr>
            </w:pPr>
            <w:r w:rsidRPr="00504456">
              <w:rPr>
                <w:color w:val="000000"/>
                <w:sz w:val="24"/>
              </w:rPr>
              <w:t xml:space="preserve">Where the application </w:t>
            </w:r>
            <w:r w:rsidR="00DF0AAB" w:rsidRPr="00504456">
              <w:rPr>
                <w:color w:val="000000"/>
                <w:sz w:val="24"/>
              </w:rPr>
              <w:t>involves</w:t>
            </w:r>
            <w:r w:rsidRPr="00504456">
              <w:rPr>
                <w:color w:val="000000"/>
                <w:sz w:val="24"/>
              </w:rPr>
              <w:t xml:space="preserve"> a club </w:t>
            </w:r>
            <w:proofErr w:type="spellStart"/>
            <w:r w:rsidRPr="00504456">
              <w:rPr>
                <w:color w:val="000000"/>
                <w:sz w:val="24"/>
              </w:rPr>
              <w:t>licence</w:t>
            </w:r>
            <w:proofErr w:type="spellEnd"/>
            <w:r w:rsidRPr="00504456">
              <w:rPr>
                <w:color w:val="000000"/>
                <w:sz w:val="24"/>
              </w:rPr>
              <w:t xml:space="preserve"> (as opposed to a hotel </w:t>
            </w:r>
            <w:proofErr w:type="spellStart"/>
            <w:r w:rsidRPr="00504456">
              <w:rPr>
                <w:color w:val="000000"/>
                <w:sz w:val="24"/>
              </w:rPr>
              <w:t>licence</w:t>
            </w:r>
            <w:proofErr w:type="spellEnd"/>
            <w:r w:rsidRPr="00504456">
              <w:rPr>
                <w:color w:val="000000"/>
                <w:sz w:val="24"/>
              </w:rPr>
              <w:t xml:space="preserve">), evidence that the application has the support of the majority of the club's members. This would ordinarily require a copy of a club resolution following full details of the application being conveyed to the club members and debated. </w:t>
            </w:r>
          </w:p>
        </w:tc>
      </w:tr>
      <w:tr w:rsidR="00A14868" w:rsidRPr="00504456" w:rsidTr="00F03287">
        <w:tc>
          <w:tcPr>
            <w:tcW w:w="2802" w:type="dxa"/>
          </w:tcPr>
          <w:p w:rsidR="00A14868" w:rsidRPr="00504456" w:rsidRDefault="00A14868" w:rsidP="00F03287">
            <w:pPr>
              <w:pStyle w:val="BodyText"/>
              <w:rPr>
                <w:sz w:val="24"/>
              </w:rPr>
            </w:pPr>
            <w:r w:rsidRPr="00504456">
              <w:rPr>
                <w:sz w:val="24"/>
              </w:rPr>
              <w:t>Community benefit</w:t>
            </w:r>
          </w:p>
        </w:tc>
        <w:tc>
          <w:tcPr>
            <w:tcW w:w="6804" w:type="dxa"/>
          </w:tcPr>
          <w:p w:rsidR="00A14868" w:rsidRPr="00504456" w:rsidRDefault="00A14868" w:rsidP="00F03287">
            <w:pPr>
              <w:pStyle w:val="BodyText"/>
              <w:numPr>
                <w:ilvl w:val="0"/>
                <w:numId w:val="5"/>
              </w:numPr>
              <w:rPr>
                <w:color w:val="000000"/>
                <w:sz w:val="24"/>
              </w:rPr>
            </w:pPr>
            <w:r w:rsidRPr="00504456">
              <w:rPr>
                <w:color w:val="000000"/>
                <w:sz w:val="24"/>
              </w:rPr>
              <w:t xml:space="preserve">Details of the nature and extent of community benefits expected from the </w:t>
            </w:r>
            <w:r w:rsidR="00AE73E9" w:rsidRPr="00504456">
              <w:rPr>
                <w:color w:val="000000"/>
                <w:sz w:val="24"/>
              </w:rPr>
              <w:t>application</w:t>
            </w:r>
            <w:r w:rsidRPr="00504456">
              <w:rPr>
                <w:color w:val="000000"/>
                <w:sz w:val="24"/>
              </w:rPr>
              <w:t xml:space="preserve"> and how the benefits are to be secured and distributed to the local community. Where, for example, the </w:t>
            </w:r>
            <w:r w:rsidR="000169DD" w:rsidRPr="00504456">
              <w:rPr>
                <w:color w:val="000000"/>
                <w:sz w:val="24"/>
              </w:rPr>
              <w:t>a</w:t>
            </w:r>
            <w:r w:rsidRPr="00504456">
              <w:rPr>
                <w:color w:val="000000"/>
                <w:sz w:val="24"/>
              </w:rPr>
              <w:t xml:space="preserve">pplicant claims that the </w:t>
            </w:r>
            <w:r w:rsidR="00AE73E9" w:rsidRPr="00504456">
              <w:rPr>
                <w:color w:val="000000"/>
                <w:sz w:val="24"/>
              </w:rPr>
              <w:t>application</w:t>
            </w:r>
            <w:r w:rsidRPr="00504456">
              <w:rPr>
                <w:color w:val="000000"/>
                <w:sz w:val="24"/>
              </w:rPr>
              <w:t xml:space="preserve"> will result in improvements being made to the premises or improvements to services, how can the community be assured that those improvements will occur once the application is approved</w:t>
            </w:r>
            <w:r w:rsidR="007710C0" w:rsidRPr="00504456">
              <w:rPr>
                <w:color w:val="000000"/>
                <w:sz w:val="24"/>
              </w:rPr>
              <w:t>.</w:t>
            </w:r>
            <w:r w:rsidRPr="00504456">
              <w:rPr>
                <w:color w:val="000000"/>
                <w:sz w:val="24"/>
              </w:rPr>
              <w:t xml:space="preserve"> </w:t>
            </w:r>
          </w:p>
          <w:p w:rsidR="00A14868" w:rsidRPr="00504456" w:rsidRDefault="00A14868" w:rsidP="00DF6AF5">
            <w:pPr>
              <w:pStyle w:val="BodyText"/>
              <w:numPr>
                <w:ilvl w:val="0"/>
                <w:numId w:val="5"/>
              </w:numPr>
              <w:rPr>
                <w:color w:val="000000"/>
                <w:sz w:val="24"/>
              </w:rPr>
            </w:pPr>
            <w:r w:rsidRPr="00504456">
              <w:rPr>
                <w:color w:val="000000"/>
                <w:sz w:val="24"/>
              </w:rPr>
              <w:t xml:space="preserve">Where the application concerns a club </w:t>
            </w:r>
            <w:proofErr w:type="spellStart"/>
            <w:r w:rsidRPr="00504456">
              <w:rPr>
                <w:color w:val="000000"/>
                <w:sz w:val="24"/>
              </w:rPr>
              <w:t>licence</w:t>
            </w:r>
            <w:proofErr w:type="spellEnd"/>
            <w:r w:rsidRPr="00504456">
              <w:rPr>
                <w:color w:val="000000"/>
                <w:sz w:val="24"/>
              </w:rPr>
              <w:t xml:space="preserve">, as opposed to a hotel </w:t>
            </w:r>
            <w:proofErr w:type="spellStart"/>
            <w:r w:rsidRPr="00504456">
              <w:rPr>
                <w:color w:val="000000"/>
                <w:sz w:val="24"/>
              </w:rPr>
              <w:t>licence</w:t>
            </w:r>
            <w:proofErr w:type="spellEnd"/>
            <w:r w:rsidRPr="00504456">
              <w:rPr>
                <w:color w:val="000000"/>
                <w:sz w:val="24"/>
              </w:rPr>
              <w:t xml:space="preserve">, details of the distribution of </w:t>
            </w:r>
            <w:r w:rsidR="00DF6AF5" w:rsidRPr="00504456">
              <w:rPr>
                <w:color w:val="000000"/>
                <w:sz w:val="24"/>
              </w:rPr>
              <w:t>c</w:t>
            </w:r>
            <w:r w:rsidRPr="00504456">
              <w:rPr>
                <w:color w:val="000000"/>
                <w:sz w:val="24"/>
              </w:rPr>
              <w:t xml:space="preserve">ommunity </w:t>
            </w:r>
            <w:r w:rsidR="00DF6AF5" w:rsidRPr="00504456">
              <w:rPr>
                <w:color w:val="000000"/>
                <w:sz w:val="24"/>
              </w:rPr>
              <w:t xml:space="preserve">benefits </w:t>
            </w:r>
            <w:r w:rsidRPr="00504456">
              <w:rPr>
                <w:color w:val="000000"/>
                <w:sz w:val="24"/>
              </w:rPr>
              <w:t>to the local community.</w:t>
            </w:r>
          </w:p>
        </w:tc>
      </w:tr>
      <w:tr w:rsidR="00A14868" w:rsidRPr="00504456" w:rsidTr="00F03287">
        <w:tc>
          <w:tcPr>
            <w:tcW w:w="2802" w:type="dxa"/>
          </w:tcPr>
          <w:p w:rsidR="00A14868" w:rsidRPr="00504456" w:rsidRDefault="00A14868" w:rsidP="00F03287">
            <w:pPr>
              <w:pStyle w:val="BodyText"/>
              <w:rPr>
                <w:sz w:val="24"/>
              </w:rPr>
            </w:pPr>
            <w:r w:rsidRPr="00504456">
              <w:rPr>
                <w:sz w:val="24"/>
              </w:rPr>
              <w:t>Alternate entertainment</w:t>
            </w:r>
          </w:p>
        </w:tc>
        <w:tc>
          <w:tcPr>
            <w:tcW w:w="6804" w:type="dxa"/>
          </w:tcPr>
          <w:p w:rsidR="00A14868" w:rsidRPr="00504456" w:rsidRDefault="00A14868" w:rsidP="00F03287">
            <w:pPr>
              <w:pStyle w:val="BodyText"/>
              <w:numPr>
                <w:ilvl w:val="0"/>
                <w:numId w:val="11"/>
              </w:numPr>
              <w:rPr>
                <w:color w:val="000000"/>
                <w:sz w:val="24"/>
              </w:rPr>
            </w:pPr>
            <w:r w:rsidRPr="00504456">
              <w:rPr>
                <w:color w:val="000000"/>
                <w:sz w:val="24"/>
              </w:rPr>
              <w:t xml:space="preserve">Description of currently available passive and active non-gaming leisure and entertainment services and opportunities in the catchment area. </w:t>
            </w:r>
          </w:p>
          <w:p w:rsidR="00A14868" w:rsidRPr="00504456" w:rsidRDefault="00A14868" w:rsidP="00F03287">
            <w:pPr>
              <w:pStyle w:val="BodyText"/>
              <w:numPr>
                <w:ilvl w:val="0"/>
                <w:numId w:val="11"/>
              </w:numPr>
              <w:rPr>
                <w:sz w:val="24"/>
              </w:rPr>
            </w:pPr>
            <w:r w:rsidRPr="00504456">
              <w:rPr>
                <w:color w:val="000000"/>
                <w:sz w:val="24"/>
              </w:rPr>
              <w:t xml:space="preserve">Description of clubs and hotels with and without </w:t>
            </w:r>
            <w:proofErr w:type="spellStart"/>
            <w:r w:rsidRPr="00504456">
              <w:rPr>
                <w:color w:val="000000"/>
                <w:sz w:val="24"/>
              </w:rPr>
              <w:t>EGMs</w:t>
            </w:r>
            <w:proofErr w:type="spellEnd"/>
            <w:r w:rsidRPr="00504456">
              <w:rPr>
                <w:color w:val="000000"/>
                <w:sz w:val="24"/>
              </w:rPr>
              <w:t xml:space="preserve"> in the patron catchment area </w:t>
            </w:r>
            <w:proofErr w:type="gramStart"/>
            <w:r w:rsidRPr="00504456">
              <w:rPr>
                <w:color w:val="000000"/>
                <w:sz w:val="24"/>
              </w:rPr>
              <w:t>that are</w:t>
            </w:r>
            <w:proofErr w:type="gramEnd"/>
            <w:r w:rsidRPr="00504456">
              <w:rPr>
                <w:color w:val="000000"/>
                <w:sz w:val="24"/>
              </w:rPr>
              <w:t xml:space="preserve"> open for similar hours.</w:t>
            </w:r>
          </w:p>
        </w:tc>
      </w:tr>
      <w:tr w:rsidR="00A14868" w:rsidRPr="00504456" w:rsidTr="00F03287">
        <w:tc>
          <w:tcPr>
            <w:tcW w:w="2802" w:type="dxa"/>
          </w:tcPr>
          <w:p w:rsidR="00A14868" w:rsidRPr="00504456" w:rsidRDefault="00A14868" w:rsidP="00F03287">
            <w:pPr>
              <w:pStyle w:val="BodyText"/>
              <w:rPr>
                <w:sz w:val="24"/>
              </w:rPr>
            </w:pPr>
            <w:r w:rsidRPr="00504456">
              <w:rPr>
                <w:sz w:val="24"/>
              </w:rPr>
              <w:t>Expenditure</w:t>
            </w:r>
          </w:p>
        </w:tc>
        <w:tc>
          <w:tcPr>
            <w:tcW w:w="6804" w:type="dxa"/>
          </w:tcPr>
          <w:p w:rsidR="00A14868" w:rsidRPr="00504456" w:rsidRDefault="00A14868" w:rsidP="00F03287">
            <w:pPr>
              <w:pStyle w:val="BodyText"/>
              <w:numPr>
                <w:ilvl w:val="0"/>
                <w:numId w:val="5"/>
              </w:numPr>
              <w:rPr>
                <w:color w:val="000000"/>
                <w:sz w:val="24"/>
              </w:rPr>
            </w:pPr>
            <w:r w:rsidRPr="00504456">
              <w:rPr>
                <w:color w:val="000000"/>
                <w:sz w:val="24"/>
              </w:rPr>
              <w:t>Details of existing gaming expenditure at the venue (over a three</w:t>
            </w:r>
            <w:r w:rsidR="00DF0AAB" w:rsidRPr="00504456">
              <w:rPr>
                <w:color w:val="000000"/>
                <w:sz w:val="24"/>
              </w:rPr>
              <w:t>-</w:t>
            </w:r>
            <w:r w:rsidRPr="00504456">
              <w:rPr>
                <w:color w:val="000000"/>
                <w:sz w:val="24"/>
              </w:rPr>
              <w:t xml:space="preserve">year period prior to the application) and a forecast of the anticipated expenditure at the venue if the </w:t>
            </w:r>
            <w:r w:rsidR="00AE73E9" w:rsidRPr="00504456">
              <w:rPr>
                <w:color w:val="000000"/>
                <w:sz w:val="24"/>
              </w:rPr>
              <w:t>application</w:t>
            </w:r>
            <w:r w:rsidRPr="00504456">
              <w:rPr>
                <w:color w:val="000000"/>
                <w:sz w:val="24"/>
              </w:rPr>
              <w:t xml:space="preserve"> was to be approved.</w:t>
            </w:r>
          </w:p>
          <w:p w:rsidR="00A14868" w:rsidRPr="00504456" w:rsidRDefault="00A14868" w:rsidP="00F03287">
            <w:pPr>
              <w:pStyle w:val="BodyText"/>
              <w:numPr>
                <w:ilvl w:val="0"/>
                <w:numId w:val="5"/>
              </w:numPr>
              <w:rPr>
                <w:color w:val="000000"/>
                <w:sz w:val="24"/>
              </w:rPr>
            </w:pPr>
            <w:r w:rsidRPr="00504456">
              <w:rPr>
                <w:color w:val="000000"/>
                <w:sz w:val="24"/>
              </w:rPr>
              <w:t xml:space="preserve">If the </w:t>
            </w:r>
            <w:r w:rsidR="000169DD" w:rsidRPr="00504456">
              <w:rPr>
                <w:color w:val="000000"/>
                <w:sz w:val="24"/>
              </w:rPr>
              <w:t>a</w:t>
            </w:r>
            <w:r w:rsidRPr="00504456">
              <w:rPr>
                <w:color w:val="000000"/>
                <w:sz w:val="24"/>
              </w:rPr>
              <w:t xml:space="preserve">pplicant contends that gaming expenditure is likely to be transferred from other venues (including venues in other municipalities), the </w:t>
            </w:r>
            <w:r w:rsidR="000169DD" w:rsidRPr="00504456">
              <w:rPr>
                <w:color w:val="000000"/>
                <w:sz w:val="24"/>
              </w:rPr>
              <w:t>a</w:t>
            </w:r>
            <w:r w:rsidRPr="00504456">
              <w:rPr>
                <w:color w:val="000000"/>
                <w:sz w:val="24"/>
              </w:rPr>
              <w:t>pplicant is to provide:</w:t>
            </w:r>
          </w:p>
          <w:p w:rsidR="00A14868" w:rsidRPr="00504456" w:rsidRDefault="00A14868" w:rsidP="00F03287">
            <w:pPr>
              <w:pStyle w:val="BodyText"/>
              <w:numPr>
                <w:ilvl w:val="0"/>
                <w:numId w:val="3"/>
              </w:numPr>
              <w:rPr>
                <w:color w:val="000000"/>
                <w:sz w:val="24"/>
              </w:rPr>
            </w:pPr>
            <w:r w:rsidRPr="00504456">
              <w:rPr>
                <w:color w:val="000000"/>
                <w:sz w:val="24"/>
              </w:rPr>
              <w:t xml:space="preserve">particulars as to how the level of transfer has been </w:t>
            </w:r>
            <w:r w:rsidRPr="00504456">
              <w:rPr>
                <w:color w:val="000000"/>
                <w:sz w:val="24"/>
              </w:rPr>
              <w:lastRenderedPageBreak/>
              <w:t>calculated (including, but not limited to, a comparison per machine expenditure at the venue prior to and then after the additional machines have been installed, current usage levels of machines at the venue, and projected usage level of machines at the venue after the additional machines have been installed)</w:t>
            </w:r>
          </w:p>
          <w:p w:rsidR="00A14868" w:rsidRPr="00504456" w:rsidRDefault="00A14868" w:rsidP="00F03287">
            <w:pPr>
              <w:pStyle w:val="BodyText"/>
              <w:numPr>
                <w:ilvl w:val="0"/>
                <w:numId w:val="3"/>
              </w:numPr>
              <w:rPr>
                <w:color w:val="000000"/>
                <w:sz w:val="24"/>
              </w:rPr>
            </w:pPr>
            <w:r w:rsidRPr="00504456">
              <w:rPr>
                <w:color w:val="000000"/>
                <w:sz w:val="24"/>
              </w:rPr>
              <w:t xml:space="preserve">the amount of transfer expenditure anticipated </w:t>
            </w:r>
          </w:p>
          <w:p w:rsidR="00A14868" w:rsidRPr="00504456" w:rsidRDefault="00A14868" w:rsidP="00F03287">
            <w:pPr>
              <w:pStyle w:val="BodyText"/>
              <w:numPr>
                <w:ilvl w:val="0"/>
                <w:numId w:val="3"/>
              </w:numPr>
              <w:rPr>
                <w:color w:val="000000"/>
                <w:sz w:val="24"/>
              </w:rPr>
            </w:pPr>
            <w:r w:rsidRPr="00504456">
              <w:rPr>
                <w:color w:val="000000"/>
                <w:sz w:val="24"/>
              </w:rPr>
              <w:t>the resulting impact on revenue of the venue from where the expenditure is transferred</w:t>
            </w:r>
          </w:p>
          <w:p w:rsidR="00A14868" w:rsidRPr="00504456" w:rsidRDefault="00A14868" w:rsidP="00F03287">
            <w:pPr>
              <w:pStyle w:val="BodyText"/>
              <w:numPr>
                <w:ilvl w:val="0"/>
                <w:numId w:val="3"/>
              </w:numPr>
              <w:rPr>
                <w:color w:val="000000"/>
                <w:sz w:val="24"/>
              </w:rPr>
            </w:pPr>
            <w:proofErr w:type="gramStart"/>
            <w:r w:rsidRPr="00504456">
              <w:rPr>
                <w:color w:val="000000"/>
                <w:sz w:val="24"/>
              </w:rPr>
              <w:t>the</w:t>
            </w:r>
            <w:proofErr w:type="gramEnd"/>
            <w:r w:rsidRPr="00504456">
              <w:rPr>
                <w:color w:val="000000"/>
                <w:sz w:val="24"/>
              </w:rPr>
              <w:t xml:space="preserve"> resulting social and economic impact on the venue from where the expenditure is transferred (such as loss of employment, loss of complementary expenditures, loss of customers, and impact on ability to provide services)</w:t>
            </w:r>
            <w:r w:rsidR="004F062E" w:rsidRPr="00504456">
              <w:rPr>
                <w:color w:val="000000"/>
                <w:sz w:val="24"/>
              </w:rPr>
              <w:t>.</w:t>
            </w:r>
            <w:r w:rsidR="00B222ED" w:rsidRPr="00504456">
              <w:rPr>
                <w:rStyle w:val="FootnoteReference"/>
                <w:color w:val="000000"/>
                <w:sz w:val="24"/>
              </w:rPr>
              <w:footnoteReference w:id="49"/>
            </w:r>
            <w:r w:rsidRPr="00504456">
              <w:rPr>
                <w:color w:val="000000"/>
                <w:sz w:val="24"/>
              </w:rPr>
              <w:t xml:space="preserve"> </w:t>
            </w:r>
          </w:p>
          <w:p w:rsidR="00A14868" w:rsidRPr="00504456" w:rsidRDefault="00A14868" w:rsidP="004F062E">
            <w:pPr>
              <w:pStyle w:val="BodyText"/>
              <w:ind w:left="317"/>
              <w:rPr>
                <w:color w:val="000000"/>
                <w:sz w:val="24"/>
              </w:rPr>
            </w:pPr>
            <w:r w:rsidRPr="00504456">
              <w:rPr>
                <w:color w:val="000000"/>
                <w:sz w:val="24"/>
              </w:rPr>
              <w:t>This would ordinarily require a statement from the operators of the other venues.</w:t>
            </w:r>
            <w:r w:rsidR="004141EA" w:rsidRPr="00504456">
              <w:rPr>
                <w:color w:val="000000"/>
                <w:sz w:val="24"/>
              </w:rPr>
              <w:t xml:space="preserve"> </w:t>
            </w:r>
          </w:p>
          <w:p w:rsidR="004141EA" w:rsidRPr="00504456" w:rsidRDefault="004141EA" w:rsidP="004141EA">
            <w:pPr>
              <w:pStyle w:val="BodyText"/>
              <w:ind w:left="317"/>
              <w:rPr>
                <w:color w:val="000000"/>
                <w:sz w:val="24"/>
              </w:rPr>
            </w:pPr>
          </w:p>
        </w:tc>
      </w:tr>
      <w:tr w:rsidR="00A14868" w:rsidRPr="00504456" w:rsidTr="00F03287">
        <w:tc>
          <w:tcPr>
            <w:tcW w:w="2802" w:type="dxa"/>
          </w:tcPr>
          <w:p w:rsidR="00A14868" w:rsidRPr="00504456" w:rsidRDefault="00A14868" w:rsidP="00F03287">
            <w:pPr>
              <w:pStyle w:val="BodyText"/>
              <w:rPr>
                <w:sz w:val="24"/>
              </w:rPr>
            </w:pPr>
            <w:r w:rsidRPr="00504456">
              <w:rPr>
                <w:sz w:val="24"/>
              </w:rPr>
              <w:lastRenderedPageBreak/>
              <w:t>Harm prevention and product safety measures</w:t>
            </w:r>
          </w:p>
        </w:tc>
        <w:tc>
          <w:tcPr>
            <w:tcW w:w="6804" w:type="dxa"/>
          </w:tcPr>
          <w:p w:rsidR="00A14868" w:rsidRPr="00504456" w:rsidRDefault="00A14868" w:rsidP="00F03287">
            <w:pPr>
              <w:pStyle w:val="BodyText"/>
              <w:numPr>
                <w:ilvl w:val="0"/>
                <w:numId w:val="9"/>
              </w:numPr>
              <w:rPr>
                <w:color w:val="000000"/>
                <w:sz w:val="24"/>
              </w:rPr>
            </w:pPr>
            <w:r w:rsidRPr="00504456">
              <w:rPr>
                <w:color w:val="000000"/>
                <w:sz w:val="24"/>
              </w:rPr>
              <w:t>Where relevant, details of the design and layout of the premises including all proposed and existing signage and evidence of compliance with any relevant gambling regulations concerning the premise's layout, design and operation.</w:t>
            </w:r>
          </w:p>
          <w:p w:rsidR="00A14868" w:rsidRPr="00504456" w:rsidRDefault="00A14868" w:rsidP="00F03287">
            <w:pPr>
              <w:pStyle w:val="BodyText"/>
              <w:numPr>
                <w:ilvl w:val="0"/>
                <w:numId w:val="9"/>
              </w:numPr>
              <w:rPr>
                <w:color w:val="000000"/>
                <w:sz w:val="24"/>
              </w:rPr>
            </w:pPr>
            <w:r w:rsidRPr="00504456">
              <w:rPr>
                <w:color w:val="000000"/>
                <w:sz w:val="24"/>
              </w:rPr>
              <w:t xml:space="preserve">Details of any current or proposed measures by the applicant to </w:t>
            </w:r>
            <w:proofErr w:type="spellStart"/>
            <w:r w:rsidRPr="00504456">
              <w:rPr>
                <w:color w:val="000000"/>
                <w:sz w:val="24"/>
              </w:rPr>
              <w:t>minimise</w:t>
            </w:r>
            <w:proofErr w:type="spellEnd"/>
            <w:r w:rsidRPr="00504456">
              <w:rPr>
                <w:color w:val="000000"/>
                <w:sz w:val="24"/>
              </w:rPr>
              <w:t xml:space="preserve"> harms due to problem gambling that are additional to regulatory requirements. </w:t>
            </w:r>
          </w:p>
        </w:tc>
      </w:tr>
    </w:tbl>
    <w:p w:rsidR="00A14868" w:rsidRPr="00504456" w:rsidRDefault="00A14868" w:rsidP="00A14868"/>
    <w:p w:rsidR="00A14868" w:rsidRPr="00504456" w:rsidRDefault="00A14868" w:rsidP="00A14868">
      <w:pPr>
        <w:pStyle w:val="Heading2"/>
        <w:spacing w:before="0"/>
      </w:pPr>
      <w:bookmarkStart w:id="360" w:name="_Toc372787040"/>
      <w:r w:rsidRPr="00504456">
        <w:t>Council assessment process</w:t>
      </w:r>
      <w:bookmarkEnd w:id="360"/>
    </w:p>
    <w:p w:rsidR="00A14868" w:rsidRPr="00504456" w:rsidRDefault="00A14868" w:rsidP="00A14868">
      <w:pPr>
        <w:pStyle w:val="Default"/>
        <w:rPr>
          <w:rFonts w:ascii="Arial" w:hAnsi="Arial" w:cs="Arial"/>
        </w:rPr>
      </w:pPr>
      <w:r w:rsidRPr="00504456">
        <w:rPr>
          <w:rFonts w:ascii="Arial" w:hAnsi="Arial" w:cs="Arial"/>
        </w:rPr>
        <w:t xml:space="preserve">As mentioned previously, receiving approval to operate </w:t>
      </w:r>
      <w:proofErr w:type="spellStart"/>
      <w:r w:rsidRPr="00504456">
        <w:rPr>
          <w:rFonts w:ascii="Arial" w:hAnsi="Arial" w:cs="Arial"/>
        </w:rPr>
        <w:t>EGMs</w:t>
      </w:r>
      <w:proofErr w:type="spellEnd"/>
      <w:r w:rsidRPr="00504456">
        <w:rPr>
          <w:rFonts w:ascii="Arial" w:hAnsi="Arial" w:cs="Arial"/>
        </w:rPr>
        <w:t xml:space="preserve"> is a two-part process: the planning permit approval through Council and the gaming licence approval through the </w:t>
      </w:r>
      <w:proofErr w:type="spellStart"/>
      <w:r w:rsidRPr="00504456">
        <w:rPr>
          <w:rFonts w:ascii="Arial" w:hAnsi="Arial" w:cs="Arial"/>
        </w:rPr>
        <w:t>VCGLR</w:t>
      </w:r>
      <w:proofErr w:type="spellEnd"/>
      <w:r w:rsidRPr="00504456">
        <w:rPr>
          <w:rFonts w:ascii="Arial" w:hAnsi="Arial" w:cs="Arial"/>
        </w:rPr>
        <w:t xml:space="preserve">. Responding to planning </w:t>
      </w:r>
      <w:r w:rsidR="00AE73E9" w:rsidRPr="00504456">
        <w:rPr>
          <w:rFonts w:ascii="Arial" w:hAnsi="Arial" w:cs="Arial"/>
        </w:rPr>
        <w:t xml:space="preserve">permit application </w:t>
      </w:r>
      <w:r w:rsidRPr="00504456">
        <w:rPr>
          <w:rFonts w:ascii="Arial" w:hAnsi="Arial" w:cs="Arial"/>
        </w:rPr>
        <w:t xml:space="preserve">will be led by Council's Statutory Planning </w:t>
      </w:r>
      <w:r w:rsidR="000169DD" w:rsidRPr="00504456">
        <w:rPr>
          <w:rFonts w:ascii="Arial" w:hAnsi="Arial" w:cs="Arial"/>
        </w:rPr>
        <w:t>D</w:t>
      </w:r>
      <w:r w:rsidRPr="00504456">
        <w:rPr>
          <w:rFonts w:ascii="Arial" w:hAnsi="Arial" w:cs="Arial"/>
        </w:rPr>
        <w:t xml:space="preserve">epartment and responding to gaming </w:t>
      </w:r>
      <w:r w:rsidR="00AE73E9" w:rsidRPr="00504456">
        <w:rPr>
          <w:rFonts w:ascii="Arial" w:hAnsi="Arial" w:cs="Arial"/>
        </w:rPr>
        <w:t xml:space="preserve">licence application </w:t>
      </w:r>
      <w:r w:rsidRPr="00504456">
        <w:rPr>
          <w:rFonts w:ascii="Arial" w:hAnsi="Arial" w:cs="Arial"/>
        </w:rPr>
        <w:t xml:space="preserve">at the </w:t>
      </w:r>
      <w:proofErr w:type="spellStart"/>
      <w:r w:rsidRPr="00504456">
        <w:rPr>
          <w:rFonts w:ascii="Arial" w:hAnsi="Arial" w:cs="Arial"/>
        </w:rPr>
        <w:t>VCGLR</w:t>
      </w:r>
      <w:proofErr w:type="spellEnd"/>
      <w:r w:rsidRPr="00504456">
        <w:rPr>
          <w:rFonts w:ascii="Arial" w:hAnsi="Arial" w:cs="Arial"/>
        </w:rPr>
        <w:t xml:space="preserve"> will be led by the Community Planning and Development </w:t>
      </w:r>
      <w:r w:rsidR="000169DD" w:rsidRPr="00504456">
        <w:rPr>
          <w:rFonts w:ascii="Arial" w:hAnsi="Arial" w:cs="Arial"/>
        </w:rPr>
        <w:t>D</w:t>
      </w:r>
      <w:r w:rsidRPr="00504456">
        <w:rPr>
          <w:rFonts w:ascii="Arial" w:hAnsi="Arial" w:cs="Arial"/>
        </w:rPr>
        <w:t>epartment.</w:t>
      </w:r>
    </w:p>
    <w:p w:rsidR="00A14868" w:rsidRPr="00504456" w:rsidRDefault="00A14868" w:rsidP="00A14868">
      <w:pPr>
        <w:pStyle w:val="Default"/>
        <w:rPr>
          <w:rFonts w:ascii="Arial" w:hAnsi="Arial" w:cs="Arial"/>
        </w:rPr>
      </w:pPr>
    </w:p>
    <w:p w:rsidR="00A14868" w:rsidRPr="00504456" w:rsidRDefault="00A14868" w:rsidP="00A14868">
      <w:pPr>
        <w:pStyle w:val="Default"/>
        <w:rPr>
          <w:rFonts w:ascii="Arial" w:hAnsi="Arial" w:cs="Arial"/>
        </w:rPr>
      </w:pPr>
      <w:r w:rsidRPr="00504456">
        <w:rPr>
          <w:rFonts w:ascii="Arial" w:hAnsi="Arial" w:cs="Arial"/>
        </w:rPr>
        <w:t>The gaming licen</w:t>
      </w:r>
      <w:r w:rsidR="00E55F63" w:rsidRPr="00504456">
        <w:rPr>
          <w:rFonts w:ascii="Arial" w:hAnsi="Arial" w:cs="Arial"/>
        </w:rPr>
        <w:t>c</w:t>
      </w:r>
      <w:r w:rsidRPr="00504456">
        <w:rPr>
          <w:rFonts w:ascii="Arial" w:hAnsi="Arial" w:cs="Arial"/>
        </w:rPr>
        <w:t xml:space="preserve">e process through the </w:t>
      </w:r>
      <w:proofErr w:type="spellStart"/>
      <w:r w:rsidRPr="00504456">
        <w:rPr>
          <w:rFonts w:ascii="Arial" w:hAnsi="Arial" w:cs="Arial"/>
        </w:rPr>
        <w:t>VCGLR</w:t>
      </w:r>
      <w:proofErr w:type="spellEnd"/>
      <w:r w:rsidRPr="00504456">
        <w:rPr>
          <w:rFonts w:ascii="Arial" w:hAnsi="Arial" w:cs="Arial"/>
        </w:rPr>
        <w:t xml:space="preserve"> has strict timelines. Council is required to notify the </w:t>
      </w:r>
      <w:proofErr w:type="spellStart"/>
      <w:r w:rsidRPr="00504456">
        <w:rPr>
          <w:rFonts w:ascii="Arial" w:hAnsi="Arial" w:cs="Arial"/>
        </w:rPr>
        <w:t>VCGLR</w:t>
      </w:r>
      <w:proofErr w:type="spellEnd"/>
      <w:r w:rsidRPr="00504456">
        <w:rPr>
          <w:rFonts w:ascii="Arial" w:hAnsi="Arial" w:cs="Arial"/>
        </w:rPr>
        <w:t xml:space="preserve"> of its 'intention' to lodge a submission in response to </w:t>
      </w:r>
      <w:r w:rsidR="0082468E" w:rsidRPr="00504456">
        <w:rPr>
          <w:rFonts w:ascii="Arial" w:hAnsi="Arial" w:cs="Arial"/>
        </w:rPr>
        <w:t xml:space="preserve">a </w:t>
      </w:r>
      <w:r w:rsidR="008767DA" w:rsidRPr="00504456">
        <w:rPr>
          <w:rFonts w:ascii="Arial" w:hAnsi="Arial" w:cs="Arial"/>
        </w:rPr>
        <w:t xml:space="preserve">gaming </w:t>
      </w:r>
      <w:r w:rsidR="00AE73E9" w:rsidRPr="00504456">
        <w:rPr>
          <w:rFonts w:ascii="Arial" w:hAnsi="Arial" w:cs="Arial"/>
        </w:rPr>
        <w:t>licence application</w:t>
      </w:r>
      <w:r w:rsidRPr="00504456">
        <w:rPr>
          <w:rFonts w:ascii="Arial" w:hAnsi="Arial" w:cs="Arial"/>
        </w:rPr>
        <w:t xml:space="preserve"> 37 days after being notified by the </w:t>
      </w:r>
      <w:proofErr w:type="spellStart"/>
      <w:r w:rsidRPr="00504456">
        <w:rPr>
          <w:rFonts w:ascii="Arial" w:hAnsi="Arial" w:cs="Arial"/>
        </w:rPr>
        <w:t>VCGLR</w:t>
      </w:r>
      <w:proofErr w:type="spellEnd"/>
      <w:r w:rsidRPr="00504456">
        <w:rPr>
          <w:rFonts w:ascii="Arial" w:hAnsi="Arial" w:cs="Arial"/>
        </w:rPr>
        <w:t xml:space="preserve"> of the </w:t>
      </w:r>
      <w:r w:rsidR="00AE73E9" w:rsidRPr="00504456">
        <w:rPr>
          <w:rFonts w:ascii="Arial" w:hAnsi="Arial" w:cs="Arial"/>
        </w:rPr>
        <w:t>application</w:t>
      </w:r>
      <w:r w:rsidRPr="00504456">
        <w:rPr>
          <w:rFonts w:ascii="Arial" w:hAnsi="Arial" w:cs="Arial"/>
        </w:rPr>
        <w:t xml:space="preserve">. Council must then lodge its submission with the </w:t>
      </w:r>
      <w:proofErr w:type="spellStart"/>
      <w:r w:rsidRPr="00504456">
        <w:rPr>
          <w:rFonts w:ascii="Arial" w:hAnsi="Arial" w:cs="Arial"/>
        </w:rPr>
        <w:t>VCGLR</w:t>
      </w:r>
      <w:proofErr w:type="spellEnd"/>
      <w:r w:rsidRPr="00504456">
        <w:rPr>
          <w:rFonts w:ascii="Arial" w:hAnsi="Arial" w:cs="Arial"/>
        </w:rPr>
        <w:t xml:space="preserve"> within 60 days of being notified of the </w:t>
      </w:r>
      <w:r w:rsidR="00AE73E9" w:rsidRPr="00504456">
        <w:rPr>
          <w:rFonts w:ascii="Arial" w:hAnsi="Arial" w:cs="Arial"/>
        </w:rPr>
        <w:t>application</w:t>
      </w:r>
      <w:r w:rsidRPr="00504456">
        <w:rPr>
          <w:rFonts w:ascii="Arial" w:hAnsi="Arial" w:cs="Arial"/>
        </w:rPr>
        <w:t xml:space="preserve">. </w:t>
      </w:r>
      <w:r w:rsidR="00265DB0" w:rsidRPr="00504456">
        <w:rPr>
          <w:rFonts w:ascii="Arial" w:hAnsi="Arial" w:cs="Arial"/>
        </w:rPr>
        <w:t>Council has an internal procedures document</w:t>
      </w:r>
      <w:r w:rsidR="00265DB0" w:rsidRPr="00504456">
        <w:rPr>
          <w:rFonts w:ascii="Arial" w:hAnsi="Arial" w:cs="Arial"/>
          <w:b/>
        </w:rPr>
        <w:t>,</w:t>
      </w:r>
      <w:r w:rsidRPr="00504456">
        <w:rPr>
          <w:rFonts w:ascii="Arial" w:hAnsi="Arial" w:cs="Arial"/>
        </w:rPr>
        <w:t xml:space="preserve"> </w:t>
      </w:r>
      <w:r w:rsidR="00265DB0" w:rsidRPr="00504456">
        <w:rPr>
          <w:rFonts w:ascii="Arial" w:hAnsi="Arial" w:cs="Arial"/>
        </w:rPr>
        <w:t xml:space="preserve">which </w:t>
      </w:r>
      <w:r w:rsidRPr="00504456">
        <w:rPr>
          <w:rFonts w:ascii="Arial" w:hAnsi="Arial" w:cs="Arial"/>
        </w:rPr>
        <w:t xml:space="preserve">will be followed when Council is informed of a gaming </w:t>
      </w:r>
      <w:r w:rsidR="00AE73E9" w:rsidRPr="00504456">
        <w:rPr>
          <w:rFonts w:ascii="Arial" w:hAnsi="Arial" w:cs="Arial"/>
        </w:rPr>
        <w:t>licence application</w:t>
      </w:r>
      <w:r w:rsidR="008767DA" w:rsidRPr="00504456">
        <w:rPr>
          <w:rFonts w:ascii="Arial" w:hAnsi="Arial" w:cs="Arial"/>
        </w:rPr>
        <w:t xml:space="preserve"> </w:t>
      </w:r>
      <w:r w:rsidRPr="00504456">
        <w:rPr>
          <w:rFonts w:ascii="Arial" w:hAnsi="Arial" w:cs="Arial"/>
        </w:rPr>
        <w:t>within the municipality to ensure that it can meet the timelines</w:t>
      </w:r>
      <w:r w:rsidR="00274B99" w:rsidRPr="00504456">
        <w:rPr>
          <w:rFonts w:ascii="Arial" w:hAnsi="Arial" w:cs="Arial"/>
        </w:rPr>
        <w:t xml:space="preserve"> (see </w:t>
      </w:r>
      <w:r w:rsidR="00274B99" w:rsidRPr="00504456">
        <w:rPr>
          <w:rFonts w:ascii="Arial" w:hAnsi="Arial" w:cs="Arial"/>
          <w:b/>
        </w:rPr>
        <w:t>Appendix 5</w:t>
      </w:r>
      <w:r w:rsidR="00274B99" w:rsidRPr="00504456">
        <w:rPr>
          <w:rFonts w:ascii="Arial" w:hAnsi="Arial" w:cs="Arial"/>
        </w:rPr>
        <w:t>)</w:t>
      </w:r>
      <w:r w:rsidRPr="00504456">
        <w:rPr>
          <w:rFonts w:ascii="Arial" w:hAnsi="Arial" w:cs="Arial"/>
        </w:rPr>
        <w:t xml:space="preserve">. The process </w:t>
      </w:r>
      <w:r w:rsidR="00265DB0" w:rsidRPr="00504456">
        <w:rPr>
          <w:rFonts w:ascii="Arial" w:hAnsi="Arial" w:cs="Arial"/>
        </w:rPr>
        <w:t>outlines</w:t>
      </w:r>
      <w:r w:rsidRPr="00504456">
        <w:rPr>
          <w:rFonts w:ascii="Arial" w:hAnsi="Arial" w:cs="Arial"/>
        </w:rPr>
        <w:t xml:space="preserve"> </w:t>
      </w:r>
      <w:r w:rsidR="00B222ED" w:rsidRPr="00504456">
        <w:rPr>
          <w:rFonts w:ascii="Arial" w:hAnsi="Arial" w:cs="Arial"/>
        </w:rPr>
        <w:t xml:space="preserve">the ways in which Council can </w:t>
      </w:r>
      <w:r w:rsidR="00B222ED" w:rsidRPr="00504456">
        <w:rPr>
          <w:rFonts w:ascii="Arial" w:hAnsi="Arial" w:cs="Arial"/>
        </w:rPr>
        <w:lastRenderedPageBreak/>
        <w:t xml:space="preserve">respond to gaming </w:t>
      </w:r>
      <w:r w:rsidR="00AE73E9" w:rsidRPr="00504456">
        <w:rPr>
          <w:rFonts w:ascii="Arial" w:hAnsi="Arial" w:cs="Arial"/>
        </w:rPr>
        <w:t>licence applications</w:t>
      </w:r>
      <w:r w:rsidR="00B222ED" w:rsidRPr="00504456">
        <w:rPr>
          <w:rFonts w:ascii="Arial" w:hAnsi="Arial" w:cs="Arial"/>
        </w:rPr>
        <w:t xml:space="preserve"> in the municipality and </w:t>
      </w:r>
      <w:r w:rsidRPr="00504456">
        <w:rPr>
          <w:rFonts w:ascii="Arial" w:hAnsi="Arial" w:cs="Arial"/>
        </w:rPr>
        <w:t xml:space="preserve">the level of delegation required to authorise proceeding with a response to the </w:t>
      </w:r>
      <w:proofErr w:type="spellStart"/>
      <w:r w:rsidRPr="00504456">
        <w:rPr>
          <w:rFonts w:ascii="Arial" w:hAnsi="Arial" w:cs="Arial"/>
        </w:rPr>
        <w:t>VCGLR</w:t>
      </w:r>
      <w:proofErr w:type="spellEnd"/>
      <w:r w:rsidRPr="00504456">
        <w:rPr>
          <w:rFonts w:ascii="Arial" w:hAnsi="Arial" w:cs="Arial"/>
        </w:rPr>
        <w:t xml:space="preserve"> about a gaming </w:t>
      </w:r>
      <w:r w:rsidR="00AE73E9" w:rsidRPr="00504456">
        <w:rPr>
          <w:rFonts w:ascii="Arial" w:hAnsi="Arial" w:cs="Arial"/>
        </w:rPr>
        <w:t xml:space="preserve">licence application </w:t>
      </w:r>
      <w:r w:rsidRPr="00504456">
        <w:rPr>
          <w:rFonts w:ascii="Arial" w:hAnsi="Arial" w:cs="Arial"/>
        </w:rPr>
        <w:t xml:space="preserve">in the municipality. </w:t>
      </w:r>
      <w:r w:rsidR="00C12014" w:rsidRPr="00504456">
        <w:rPr>
          <w:rFonts w:ascii="Arial" w:hAnsi="Arial" w:cs="Arial"/>
        </w:rPr>
        <w:t>Due to the strict timelines</w:t>
      </w:r>
      <w:r w:rsidRPr="00504456">
        <w:rPr>
          <w:rFonts w:ascii="Arial" w:hAnsi="Arial" w:cs="Arial"/>
        </w:rPr>
        <w:t>,</w:t>
      </w:r>
      <w:r w:rsidR="00265DB0" w:rsidRPr="00504456">
        <w:rPr>
          <w:rFonts w:ascii="Arial" w:hAnsi="Arial" w:cs="Arial"/>
        </w:rPr>
        <w:t xml:space="preserve"> </w:t>
      </w:r>
      <w:r w:rsidR="006A73A8" w:rsidRPr="00504456">
        <w:rPr>
          <w:rFonts w:ascii="Arial" w:hAnsi="Arial" w:cs="Arial"/>
        </w:rPr>
        <w:t xml:space="preserve">the </w:t>
      </w:r>
      <w:r w:rsidRPr="00504456">
        <w:rPr>
          <w:rFonts w:ascii="Arial" w:hAnsi="Arial" w:cs="Arial"/>
        </w:rPr>
        <w:t xml:space="preserve">endorsement </w:t>
      </w:r>
      <w:r w:rsidR="00DF0AAB" w:rsidRPr="00504456">
        <w:rPr>
          <w:rFonts w:ascii="Arial" w:hAnsi="Arial" w:cs="Arial"/>
        </w:rPr>
        <w:t>of submission</w:t>
      </w:r>
      <w:r w:rsidR="00AA2E84" w:rsidRPr="00504456">
        <w:rPr>
          <w:rFonts w:ascii="Arial" w:hAnsi="Arial" w:cs="Arial"/>
        </w:rPr>
        <w:t>s</w:t>
      </w:r>
      <w:r w:rsidR="00DF0AAB" w:rsidRPr="00504456">
        <w:rPr>
          <w:rFonts w:ascii="Arial" w:hAnsi="Arial" w:cs="Arial"/>
        </w:rPr>
        <w:t xml:space="preserve"> </w:t>
      </w:r>
      <w:r w:rsidRPr="00504456">
        <w:rPr>
          <w:rFonts w:ascii="Arial" w:hAnsi="Arial" w:cs="Arial"/>
        </w:rPr>
        <w:t>will be delegated to the Chief Executive Officer.</w:t>
      </w:r>
    </w:p>
    <w:p w:rsidR="00A14868" w:rsidRPr="00504456" w:rsidRDefault="00A14868" w:rsidP="00A14868">
      <w:pPr>
        <w:rPr>
          <w:rFonts w:ascii="Arial" w:hAnsi="Arial" w:cs="Arial"/>
        </w:rPr>
      </w:pPr>
      <w:r w:rsidRPr="00504456">
        <w:rPr>
          <w:rFonts w:ascii="Arial" w:hAnsi="Arial" w:cs="Arial"/>
        </w:rPr>
        <w:t xml:space="preserve"> </w:t>
      </w:r>
    </w:p>
    <w:p w:rsidR="00A14868" w:rsidRPr="00504456" w:rsidRDefault="00A14868" w:rsidP="00A14868">
      <w:pPr>
        <w:pStyle w:val="BodyText"/>
        <w:spacing w:line="240" w:lineRule="auto"/>
        <w:rPr>
          <w:rFonts w:cs="Arial"/>
          <w:color w:val="000000"/>
          <w:sz w:val="24"/>
          <w:lang w:val="en-AU" w:eastAsia="en-AU"/>
        </w:rPr>
      </w:pPr>
      <w:r w:rsidRPr="00504456">
        <w:rPr>
          <w:rFonts w:cs="Arial"/>
          <w:color w:val="000000"/>
          <w:sz w:val="24"/>
          <w:lang w:val="en-AU" w:eastAsia="en-AU"/>
        </w:rPr>
        <w:t xml:space="preserve">Councils can also make comment on or prepare a submission to the </w:t>
      </w:r>
      <w:proofErr w:type="spellStart"/>
      <w:r w:rsidRPr="00504456">
        <w:rPr>
          <w:rFonts w:cs="Arial"/>
          <w:color w:val="000000"/>
          <w:sz w:val="24"/>
          <w:lang w:val="en-AU" w:eastAsia="en-AU"/>
        </w:rPr>
        <w:t>VCGLR</w:t>
      </w:r>
      <w:proofErr w:type="spellEnd"/>
      <w:r w:rsidRPr="00504456">
        <w:rPr>
          <w:rFonts w:cs="Arial"/>
          <w:color w:val="000000"/>
          <w:sz w:val="24"/>
          <w:lang w:val="en-AU" w:eastAsia="en-AU"/>
        </w:rPr>
        <w:t xml:space="preserve"> on gaming </w:t>
      </w:r>
      <w:r w:rsidR="00AE73E9" w:rsidRPr="00504456">
        <w:rPr>
          <w:rFonts w:cs="Arial"/>
          <w:color w:val="000000"/>
          <w:sz w:val="24"/>
          <w:lang w:val="en-AU" w:eastAsia="en-AU"/>
        </w:rPr>
        <w:t>licence applications</w:t>
      </w:r>
      <w:r w:rsidR="008767DA" w:rsidRPr="00504456">
        <w:rPr>
          <w:rFonts w:cs="Arial"/>
          <w:color w:val="000000"/>
          <w:sz w:val="24"/>
          <w:lang w:val="en-AU" w:eastAsia="en-AU"/>
        </w:rPr>
        <w:t xml:space="preserve"> </w:t>
      </w:r>
      <w:r w:rsidRPr="00504456">
        <w:rPr>
          <w:rFonts w:cs="Arial"/>
          <w:color w:val="000000"/>
          <w:sz w:val="24"/>
          <w:lang w:val="en-AU" w:eastAsia="en-AU"/>
        </w:rPr>
        <w:t xml:space="preserve">in neighbouring municipalities. Where Council is informed of a gaming </w:t>
      </w:r>
      <w:r w:rsidR="00AE73E9" w:rsidRPr="00504456">
        <w:rPr>
          <w:rFonts w:cs="Arial"/>
          <w:color w:val="000000"/>
          <w:sz w:val="24"/>
          <w:lang w:val="en-AU" w:eastAsia="en-AU"/>
        </w:rPr>
        <w:t>licence application</w:t>
      </w:r>
      <w:r w:rsidRPr="00504456">
        <w:rPr>
          <w:rFonts w:cs="Arial"/>
          <w:color w:val="000000"/>
          <w:sz w:val="24"/>
          <w:lang w:val="en-AU" w:eastAsia="en-AU"/>
        </w:rPr>
        <w:t xml:space="preserve">, which will have an impact on the residents in the City of Boroondara, the Director of Community Development will authorise Council's response if this can be done within existing Council resources. If additional resources are required, </w:t>
      </w:r>
      <w:r w:rsidR="00557C70" w:rsidRPr="00504456">
        <w:rPr>
          <w:rFonts w:cs="Arial"/>
          <w:color w:val="000000"/>
          <w:sz w:val="24"/>
          <w:lang w:val="en-AU" w:eastAsia="en-AU"/>
        </w:rPr>
        <w:t xml:space="preserve">approval for </w:t>
      </w:r>
      <w:r w:rsidR="00AA2E84" w:rsidRPr="00504456">
        <w:rPr>
          <w:rFonts w:cs="Arial"/>
          <w:color w:val="000000"/>
          <w:sz w:val="24"/>
          <w:lang w:val="en-AU" w:eastAsia="en-AU"/>
        </w:rPr>
        <w:t xml:space="preserve">a budget amendment </w:t>
      </w:r>
      <w:r w:rsidRPr="00504456">
        <w:rPr>
          <w:rFonts w:cs="Arial"/>
          <w:color w:val="000000"/>
          <w:sz w:val="24"/>
          <w:lang w:val="en-AU" w:eastAsia="en-AU"/>
        </w:rPr>
        <w:t>will be sought</w:t>
      </w:r>
      <w:r w:rsidR="00AE37C5" w:rsidRPr="00504456">
        <w:rPr>
          <w:rFonts w:cs="Arial"/>
          <w:color w:val="000000"/>
          <w:sz w:val="24"/>
          <w:lang w:val="en-AU" w:eastAsia="en-AU"/>
        </w:rPr>
        <w:t xml:space="preserve"> as per Council's financial procedures and delegations</w:t>
      </w:r>
      <w:r w:rsidR="00664757" w:rsidRPr="00504456">
        <w:rPr>
          <w:rFonts w:cs="Arial"/>
          <w:color w:val="000000"/>
          <w:sz w:val="24"/>
          <w:lang w:val="en-AU" w:eastAsia="en-AU"/>
        </w:rPr>
        <w:t>.</w:t>
      </w:r>
      <w:r w:rsidRPr="00504456">
        <w:rPr>
          <w:rFonts w:cs="Arial"/>
          <w:color w:val="000000"/>
          <w:sz w:val="24"/>
          <w:lang w:val="en-AU" w:eastAsia="en-AU"/>
        </w:rPr>
        <w:t xml:space="preserve"> </w:t>
      </w:r>
    </w:p>
    <w:p w:rsidR="00A14868" w:rsidRPr="00504456" w:rsidRDefault="00A14868" w:rsidP="00A14868">
      <w:pPr>
        <w:pStyle w:val="Heading1"/>
      </w:pPr>
      <w:bookmarkStart w:id="361" w:name="_Toc372787041"/>
      <w:r w:rsidRPr="00504456">
        <w:t>Implementation and monitoring</w:t>
      </w:r>
      <w:bookmarkEnd w:id="361"/>
    </w:p>
    <w:p w:rsidR="00A14868" w:rsidRPr="00504456" w:rsidRDefault="00A14868" w:rsidP="00A14868">
      <w:pPr>
        <w:pStyle w:val="Heading2"/>
      </w:pPr>
      <w:bookmarkStart w:id="362" w:name="_Toc372787042"/>
      <w:r w:rsidRPr="00504456">
        <w:t>Implementation</w:t>
      </w:r>
      <w:bookmarkEnd w:id="362"/>
    </w:p>
    <w:p w:rsidR="00A14868" w:rsidRPr="00504456" w:rsidRDefault="00A14868" w:rsidP="00CF2DD9">
      <w:pPr>
        <w:pStyle w:val="BodyText"/>
        <w:spacing w:after="0" w:line="240" w:lineRule="auto"/>
        <w:rPr>
          <w:sz w:val="24"/>
        </w:rPr>
      </w:pPr>
      <w:r w:rsidRPr="00504456">
        <w:rPr>
          <w:sz w:val="24"/>
        </w:rPr>
        <w:t>For all queries or feedback regarding this policy document, please contact the responsible officer</w:t>
      </w:r>
      <w:r w:rsidR="00232A11" w:rsidRPr="00504456">
        <w:rPr>
          <w:sz w:val="24"/>
        </w:rPr>
        <w:t>s</w:t>
      </w:r>
      <w:r w:rsidRPr="00504456">
        <w:rPr>
          <w:sz w:val="24"/>
        </w:rPr>
        <w:t xml:space="preserve"> below.</w:t>
      </w:r>
    </w:p>
    <w:tbl>
      <w:tblPr>
        <w:tblW w:w="0" w:type="auto"/>
        <w:tblBorders>
          <w:top w:val="single" w:sz="8" w:space="0" w:color="9BBB59"/>
          <w:left w:val="single" w:sz="8" w:space="0" w:color="9BBB59"/>
          <w:bottom w:val="single" w:sz="8" w:space="0" w:color="9BBB59"/>
          <w:right w:val="single" w:sz="8" w:space="0" w:color="9BBB59"/>
        </w:tblBorders>
        <w:tblLayout w:type="fixed"/>
        <w:tblLook w:val="01A0" w:firstRow="1" w:lastRow="0" w:firstColumn="1" w:lastColumn="1" w:noHBand="0" w:noVBand="0"/>
      </w:tblPr>
      <w:tblGrid>
        <w:gridCol w:w="3085"/>
        <w:gridCol w:w="2268"/>
        <w:gridCol w:w="4678"/>
      </w:tblGrid>
      <w:tr w:rsidR="00A14868" w:rsidRPr="00504456" w:rsidTr="00F03287">
        <w:tc>
          <w:tcPr>
            <w:tcW w:w="3085" w:type="dxa"/>
            <w:tcBorders>
              <w:bottom w:val="single" w:sz="8" w:space="0" w:color="9BBB59"/>
            </w:tcBorders>
            <w:shd w:val="clear" w:color="auto" w:fill="9BBB59"/>
          </w:tcPr>
          <w:p w:rsidR="00A14868" w:rsidRPr="00504456" w:rsidRDefault="00A14868" w:rsidP="00CF2DD9">
            <w:pPr>
              <w:tabs>
                <w:tab w:val="center" w:pos="4320"/>
                <w:tab w:val="right" w:pos="8640"/>
              </w:tabs>
              <w:rPr>
                <w:rStyle w:val="Bold"/>
                <w:rFonts w:ascii="Arial" w:eastAsia="Calibri" w:hAnsi="Arial" w:cs="Arial"/>
                <w:bCs/>
                <w:color w:val="FFFFFF"/>
              </w:rPr>
            </w:pPr>
            <w:r w:rsidRPr="00504456">
              <w:rPr>
                <w:rStyle w:val="Bold"/>
                <w:rFonts w:ascii="Arial" w:eastAsia="Calibri" w:hAnsi="Arial" w:cs="Arial"/>
                <w:bCs/>
                <w:color w:val="FFFFFF"/>
              </w:rPr>
              <w:t>Contact</w:t>
            </w:r>
          </w:p>
        </w:tc>
        <w:tc>
          <w:tcPr>
            <w:tcW w:w="2268" w:type="dxa"/>
            <w:tcBorders>
              <w:bottom w:val="single" w:sz="8" w:space="0" w:color="9BBB59"/>
            </w:tcBorders>
            <w:shd w:val="clear" w:color="auto" w:fill="9BBB59"/>
          </w:tcPr>
          <w:p w:rsidR="00A14868" w:rsidRPr="00504456" w:rsidRDefault="00A14868" w:rsidP="00CF2DD9">
            <w:pPr>
              <w:tabs>
                <w:tab w:val="center" w:pos="4320"/>
                <w:tab w:val="right" w:pos="8640"/>
              </w:tabs>
              <w:jc w:val="center"/>
              <w:rPr>
                <w:rStyle w:val="Bold"/>
                <w:rFonts w:ascii="Arial" w:eastAsia="Calibri" w:hAnsi="Arial" w:cs="Arial"/>
                <w:bCs/>
                <w:color w:val="FFFFFF"/>
              </w:rPr>
            </w:pPr>
            <w:r w:rsidRPr="00504456">
              <w:rPr>
                <w:rStyle w:val="Bold"/>
                <w:rFonts w:ascii="Arial" w:eastAsia="Calibri" w:hAnsi="Arial" w:cs="Arial"/>
                <w:bCs/>
                <w:color w:val="FFFFFF"/>
              </w:rPr>
              <w:t>Contact number</w:t>
            </w:r>
          </w:p>
        </w:tc>
        <w:tc>
          <w:tcPr>
            <w:tcW w:w="4678" w:type="dxa"/>
            <w:tcBorders>
              <w:bottom w:val="single" w:sz="8" w:space="0" w:color="9BBB59"/>
            </w:tcBorders>
            <w:shd w:val="clear" w:color="auto" w:fill="9BBB59"/>
          </w:tcPr>
          <w:p w:rsidR="00A14868" w:rsidRPr="00504456" w:rsidRDefault="00A14868" w:rsidP="00CF2DD9">
            <w:pPr>
              <w:tabs>
                <w:tab w:val="center" w:pos="4320"/>
                <w:tab w:val="right" w:pos="8640"/>
              </w:tabs>
              <w:rPr>
                <w:rStyle w:val="Bold"/>
                <w:rFonts w:ascii="Arial" w:eastAsia="Calibri" w:hAnsi="Arial" w:cs="Arial"/>
                <w:bCs/>
                <w:color w:val="FFFFFF"/>
              </w:rPr>
            </w:pPr>
            <w:r w:rsidRPr="00504456">
              <w:rPr>
                <w:rStyle w:val="Bold"/>
                <w:rFonts w:ascii="Arial" w:eastAsia="Calibri" w:hAnsi="Arial" w:cs="Arial"/>
                <w:bCs/>
                <w:color w:val="FFFFFF"/>
              </w:rPr>
              <w:t>Contact e-mail</w:t>
            </w:r>
          </w:p>
        </w:tc>
      </w:tr>
      <w:tr w:rsidR="00A14868" w:rsidRPr="00504456" w:rsidTr="00F03287">
        <w:tc>
          <w:tcPr>
            <w:tcW w:w="3085"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hAnsi="Arial" w:cs="Arial"/>
              </w:rPr>
              <w:t>Katherine Wright, Social Planning Officer</w:t>
            </w:r>
          </w:p>
        </w:tc>
        <w:tc>
          <w:tcPr>
            <w:tcW w:w="2268"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pStyle w:val="BodyText"/>
              <w:rPr>
                <w:rFonts w:cs="Arial"/>
                <w:sz w:val="24"/>
              </w:rPr>
            </w:pPr>
            <w:r w:rsidRPr="00504456">
              <w:rPr>
                <w:rFonts w:cs="Arial"/>
                <w:sz w:val="24"/>
              </w:rPr>
              <w:t>9278 4940</w:t>
            </w:r>
          </w:p>
        </w:tc>
        <w:tc>
          <w:tcPr>
            <w:tcW w:w="4678"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pStyle w:val="BodyText"/>
              <w:rPr>
                <w:rFonts w:cs="Arial"/>
                <w:sz w:val="24"/>
              </w:rPr>
            </w:pPr>
            <w:r w:rsidRPr="00504456">
              <w:rPr>
                <w:rFonts w:cs="Arial"/>
                <w:sz w:val="24"/>
              </w:rPr>
              <w:t>Katherine.Wright@boroondara.vic.gov.au</w:t>
            </w:r>
          </w:p>
        </w:tc>
      </w:tr>
      <w:tr w:rsidR="00702550" w:rsidRPr="00504456" w:rsidTr="00F03287">
        <w:tc>
          <w:tcPr>
            <w:tcW w:w="3085" w:type="dxa"/>
            <w:tcBorders>
              <w:top w:val="single" w:sz="8" w:space="0" w:color="9BBB59"/>
              <w:left w:val="single" w:sz="8" w:space="0" w:color="9BBB59"/>
              <w:bottom w:val="single" w:sz="8" w:space="0" w:color="9BBB59"/>
              <w:right w:val="single" w:sz="8" w:space="0" w:color="9BBB59"/>
            </w:tcBorders>
          </w:tcPr>
          <w:p w:rsidR="00702550" w:rsidRPr="00504456" w:rsidRDefault="00702550" w:rsidP="00F03287">
            <w:pPr>
              <w:tabs>
                <w:tab w:val="center" w:pos="4320"/>
                <w:tab w:val="right" w:pos="8640"/>
              </w:tabs>
              <w:spacing w:before="120" w:after="120" w:line="240" w:lineRule="exact"/>
              <w:rPr>
                <w:rFonts w:ascii="Arial" w:hAnsi="Arial" w:cs="Arial"/>
              </w:rPr>
            </w:pPr>
            <w:r w:rsidRPr="00504456">
              <w:rPr>
                <w:rFonts w:ascii="Arial" w:hAnsi="Arial" w:cs="Arial"/>
              </w:rPr>
              <w:t xml:space="preserve">Wendy Smith, A/Social Planning Coordinator </w:t>
            </w:r>
          </w:p>
        </w:tc>
        <w:tc>
          <w:tcPr>
            <w:tcW w:w="2268" w:type="dxa"/>
            <w:tcBorders>
              <w:top w:val="single" w:sz="8" w:space="0" w:color="9BBB59"/>
              <w:left w:val="single" w:sz="8" w:space="0" w:color="9BBB59"/>
              <w:bottom w:val="single" w:sz="8" w:space="0" w:color="9BBB59"/>
              <w:right w:val="single" w:sz="8" w:space="0" w:color="9BBB59"/>
            </w:tcBorders>
          </w:tcPr>
          <w:p w:rsidR="00702550" w:rsidRPr="00504456" w:rsidRDefault="00232A11" w:rsidP="00F03287">
            <w:pPr>
              <w:pStyle w:val="BodyText"/>
              <w:rPr>
                <w:rFonts w:cs="Arial"/>
                <w:sz w:val="24"/>
              </w:rPr>
            </w:pPr>
            <w:r w:rsidRPr="00504456">
              <w:rPr>
                <w:rFonts w:cs="Arial"/>
                <w:sz w:val="24"/>
              </w:rPr>
              <w:t>9278 4703</w:t>
            </w:r>
          </w:p>
        </w:tc>
        <w:tc>
          <w:tcPr>
            <w:tcW w:w="4678" w:type="dxa"/>
            <w:tcBorders>
              <w:top w:val="single" w:sz="8" w:space="0" w:color="9BBB59"/>
              <w:left w:val="single" w:sz="8" w:space="0" w:color="9BBB59"/>
              <w:bottom w:val="single" w:sz="8" w:space="0" w:color="9BBB59"/>
              <w:right w:val="single" w:sz="8" w:space="0" w:color="9BBB59"/>
            </w:tcBorders>
          </w:tcPr>
          <w:p w:rsidR="00702550" w:rsidRPr="00504456" w:rsidRDefault="00232A11" w:rsidP="00F03287">
            <w:pPr>
              <w:pStyle w:val="BodyText"/>
              <w:rPr>
                <w:rFonts w:cs="Arial"/>
                <w:sz w:val="24"/>
              </w:rPr>
            </w:pPr>
            <w:r w:rsidRPr="00504456">
              <w:rPr>
                <w:rFonts w:cs="Arial"/>
                <w:sz w:val="24"/>
              </w:rPr>
              <w:t>Wendy.Smith@boroondara.vic.gov.au</w:t>
            </w:r>
          </w:p>
        </w:tc>
      </w:tr>
    </w:tbl>
    <w:p w:rsidR="00A14868" w:rsidRPr="00504456" w:rsidRDefault="00A14868" w:rsidP="00CF2DD9">
      <w:pPr>
        <w:pStyle w:val="BodyText"/>
        <w:spacing w:before="240" w:line="240" w:lineRule="auto"/>
        <w:rPr>
          <w:sz w:val="24"/>
        </w:rPr>
      </w:pPr>
      <w:r w:rsidRPr="00504456">
        <w:rPr>
          <w:sz w:val="24"/>
        </w:rPr>
        <w:t>The following departments are responsible for enacting this policy.</w:t>
      </w:r>
    </w:p>
    <w:tbl>
      <w:tblPr>
        <w:tblW w:w="0" w:type="auto"/>
        <w:tblBorders>
          <w:top w:val="single" w:sz="8" w:space="0" w:color="9BBB59"/>
          <w:left w:val="single" w:sz="8" w:space="0" w:color="9BBB59"/>
          <w:bottom w:val="single" w:sz="8" w:space="0" w:color="9BBB59"/>
          <w:right w:val="single" w:sz="8" w:space="0" w:color="9BBB59"/>
        </w:tblBorders>
        <w:tblLayout w:type="fixed"/>
        <w:tblLook w:val="01A0" w:firstRow="1" w:lastRow="0" w:firstColumn="1" w:lastColumn="1" w:noHBand="0" w:noVBand="0"/>
      </w:tblPr>
      <w:tblGrid>
        <w:gridCol w:w="3936"/>
        <w:gridCol w:w="6095"/>
      </w:tblGrid>
      <w:tr w:rsidR="00A14868" w:rsidRPr="00504456" w:rsidTr="00F03287">
        <w:tc>
          <w:tcPr>
            <w:tcW w:w="3936" w:type="dxa"/>
            <w:tcBorders>
              <w:bottom w:val="single" w:sz="8" w:space="0" w:color="9BBB59"/>
            </w:tcBorders>
            <w:shd w:val="clear" w:color="auto" w:fill="9BBB59"/>
          </w:tcPr>
          <w:p w:rsidR="00A14868" w:rsidRPr="00504456" w:rsidRDefault="00A14868" w:rsidP="00F03287">
            <w:pPr>
              <w:tabs>
                <w:tab w:val="center" w:pos="4320"/>
                <w:tab w:val="right" w:pos="8640"/>
              </w:tabs>
              <w:rPr>
                <w:rStyle w:val="Bold"/>
                <w:rFonts w:ascii="Arial" w:eastAsia="Calibri" w:hAnsi="Arial" w:cs="Arial"/>
                <w:bCs/>
                <w:color w:val="FFFFFF"/>
              </w:rPr>
            </w:pPr>
            <w:r w:rsidRPr="00504456">
              <w:rPr>
                <w:rStyle w:val="Bold"/>
                <w:rFonts w:ascii="Arial" w:eastAsia="Calibri" w:hAnsi="Arial" w:cs="Arial"/>
                <w:bCs/>
                <w:color w:val="FFFFFF"/>
              </w:rPr>
              <w:t>Department</w:t>
            </w:r>
          </w:p>
        </w:tc>
        <w:tc>
          <w:tcPr>
            <w:tcW w:w="6095" w:type="dxa"/>
            <w:tcBorders>
              <w:bottom w:val="single" w:sz="8" w:space="0" w:color="9BBB59"/>
            </w:tcBorders>
            <w:shd w:val="clear" w:color="auto" w:fill="9BBB59"/>
          </w:tcPr>
          <w:p w:rsidR="00A14868" w:rsidRPr="00504456" w:rsidRDefault="00A14868" w:rsidP="00F03287">
            <w:pPr>
              <w:tabs>
                <w:tab w:val="center" w:pos="4320"/>
                <w:tab w:val="right" w:pos="8640"/>
              </w:tabs>
              <w:rPr>
                <w:rStyle w:val="Bold"/>
                <w:rFonts w:ascii="Arial" w:eastAsia="Calibri" w:hAnsi="Arial" w:cs="Arial"/>
                <w:bCs/>
                <w:color w:val="FFFFFF"/>
              </w:rPr>
            </w:pPr>
            <w:r w:rsidRPr="00504456">
              <w:rPr>
                <w:rStyle w:val="Bold"/>
                <w:rFonts w:ascii="Arial" w:eastAsia="Calibri" w:hAnsi="Arial" w:cs="Arial"/>
                <w:bCs/>
                <w:color w:val="FFFFFF"/>
              </w:rPr>
              <w:t>Responsibility</w:t>
            </w:r>
          </w:p>
        </w:tc>
      </w:tr>
      <w:tr w:rsidR="00A14868" w:rsidRPr="00504456" w:rsidTr="00F03287">
        <w:tc>
          <w:tcPr>
            <w:tcW w:w="3936"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Community Planning and Development</w:t>
            </w:r>
          </w:p>
        </w:tc>
        <w:tc>
          <w:tcPr>
            <w:tcW w:w="6095" w:type="dxa"/>
            <w:tcBorders>
              <w:top w:val="single" w:sz="8" w:space="0" w:color="9BBB59"/>
              <w:left w:val="single" w:sz="8" w:space="0" w:color="9BBB59"/>
              <w:bottom w:val="single" w:sz="8" w:space="0" w:color="9BBB59"/>
              <w:right w:val="single" w:sz="8" w:space="0" w:color="9BBB59"/>
            </w:tcBorders>
          </w:tcPr>
          <w:p w:rsidR="00723831" w:rsidRPr="00504456" w:rsidRDefault="00A14868" w:rsidP="00036CC5">
            <w:pPr>
              <w:pStyle w:val="BodyText"/>
              <w:numPr>
                <w:ilvl w:val="0"/>
                <w:numId w:val="34"/>
              </w:numPr>
              <w:rPr>
                <w:rFonts w:cs="Arial"/>
                <w:sz w:val="24"/>
              </w:rPr>
            </w:pPr>
            <w:r w:rsidRPr="00504456">
              <w:rPr>
                <w:rFonts w:cs="Arial"/>
                <w:sz w:val="24"/>
              </w:rPr>
              <w:t xml:space="preserve">Overseeing implementation of relevant strategies and the </w:t>
            </w:r>
            <w:r w:rsidR="00DF0AAB" w:rsidRPr="00504456">
              <w:rPr>
                <w:rFonts w:cs="Arial"/>
                <w:sz w:val="24"/>
              </w:rPr>
              <w:t xml:space="preserve">City of Boroondara </w:t>
            </w:r>
            <w:r w:rsidRPr="00504456">
              <w:rPr>
                <w:rFonts w:cs="Arial"/>
                <w:sz w:val="24"/>
              </w:rPr>
              <w:t>Responsible Gambling Policy 2013-1</w:t>
            </w:r>
            <w:r w:rsidR="00DF0AAB" w:rsidRPr="00504456">
              <w:rPr>
                <w:rFonts w:cs="Arial"/>
                <w:sz w:val="24"/>
              </w:rPr>
              <w:t>8</w:t>
            </w:r>
            <w:r w:rsidRPr="00504456">
              <w:rPr>
                <w:rFonts w:cs="Arial"/>
                <w:sz w:val="24"/>
              </w:rPr>
              <w:t>.</w:t>
            </w:r>
          </w:p>
          <w:p w:rsidR="00723831" w:rsidRPr="00504456" w:rsidRDefault="00A14868" w:rsidP="00036CC5">
            <w:pPr>
              <w:pStyle w:val="BodyText"/>
              <w:numPr>
                <w:ilvl w:val="0"/>
                <w:numId w:val="34"/>
              </w:numPr>
              <w:rPr>
                <w:rFonts w:cs="Arial"/>
                <w:sz w:val="24"/>
              </w:rPr>
            </w:pPr>
            <w:r w:rsidRPr="00504456">
              <w:rPr>
                <w:rFonts w:cs="Arial"/>
                <w:sz w:val="24"/>
              </w:rPr>
              <w:t xml:space="preserve">Assessing the social and economic impacts of </w:t>
            </w:r>
            <w:proofErr w:type="spellStart"/>
            <w:r w:rsidRPr="00504456">
              <w:rPr>
                <w:rFonts w:cs="Arial"/>
                <w:sz w:val="24"/>
              </w:rPr>
              <w:t>EGM</w:t>
            </w:r>
            <w:proofErr w:type="spellEnd"/>
            <w:r w:rsidRPr="00504456">
              <w:rPr>
                <w:rFonts w:cs="Arial"/>
                <w:sz w:val="24"/>
              </w:rPr>
              <w:t xml:space="preserve"> gaming </w:t>
            </w:r>
            <w:proofErr w:type="spellStart"/>
            <w:r w:rsidR="004E29E4" w:rsidRPr="00504456">
              <w:rPr>
                <w:rFonts w:cs="Arial"/>
                <w:sz w:val="24"/>
              </w:rPr>
              <w:t>licence</w:t>
            </w:r>
            <w:proofErr w:type="spellEnd"/>
            <w:r w:rsidR="004E29E4" w:rsidRPr="00504456">
              <w:rPr>
                <w:rFonts w:cs="Arial"/>
                <w:sz w:val="24"/>
              </w:rPr>
              <w:t xml:space="preserve"> </w:t>
            </w:r>
            <w:r w:rsidRPr="00504456">
              <w:rPr>
                <w:rFonts w:cs="Arial"/>
                <w:sz w:val="24"/>
              </w:rPr>
              <w:t xml:space="preserve">applications to the </w:t>
            </w:r>
            <w:proofErr w:type="spellStart"/>
            <w:r w:rsidRPr="00504456">
              <w:rPr>
                <w:rFonts w:cs="Arial"/>
                <w:sz w:val="24"/>
              </w:rPr>
              <w:t>VCGLR</w:t>
            </w:r>
            <w:proofErr w:type="spellEnd"/>
            <w:r w:rsidRPr="00504456">
              <w:rPr>
                <w:rFonts w:cs="Arial"/>
                <w:sz w:val="24"/>
              </w:rPr>
              <w:t xml:space="preserve"> in the municipality and </w:t>
            </w:r>
            <w:proofErr w:type="spellStart"/>
            <w:r w:rsidRPr="00504456">
              <w:rPr>
                <w:rFonts w:cs="Arial"/>
                <w:sz w:val="24"/>
              </w:rPr>
              <w:t>neighbouring</w:t>
            </w:r>
            <w:proofErr w:type="spellEnd"/>
            <w:r w:rsidRPr="00504456">
              <w:rPr>
                <w:rFonts w:cs="Arial"/>
                <w:sz w:val="24"/>
              </w:rPr>
              <w:t xml:space="preserve"> municipalities. </w:t>
            </w:r>
          </w:p>
        </w:tc>
      </w:tr>
      <w:tr w:rsidR="00A14868" w:rsidRPr="00504456" w:rsidTr="00F03287">
        <w:tc>
          <w:tcPr>
            <w:tcW w:w="3936"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Strategic Planning</w:t>
            </w:r>
          </w:p>
        </w:tc>
        <w:tc>
          <w:tcPr>
            <w:tcW w:w="6095" w:type="dxa"/>
            <w:tcBorders>
              <w:top w:val="single" w:sz="8" w:space="0" w:color="9BBB59"/>
              <w:left w:val="single" w:sz="8" w:space="0" w:color="9BBB59"/>
              <w:bottom w:val="single" w:sz="8" w:space="0" w:color="9BBB59"/>
              <w:right w:val="single" w:sz="8" w:space="0" w:color="9BBB59"/>
            </w:tcBorders>
          </w:tcPr>
          <w:p w:rsidR="00A14868" w:rsidRPr="00504456" w:rsidRDefault="00A14868" w:rsidP="00476B0F">
            <w:pPr>
              <w:pStyle w:val="BodyText"/>
              <w:rPr>
                <w:rFonts w:cs="Arial"/>
                <w:sz w:val="24"/>
              </w:rPr>
            </w:pPr>
            <w:r w:rsidRPr="00504456">
              <w:rPr>
                <w:rFonts w:cs="Arial"/>
                <w:sz w:val="24"/>
              </w:rPr>
              <w:t>Overseeing the Electronic Gaming Machine Policy (</w:t>
            </w:r>
            <w:r w:rsidR="00476B0F" w:rsidRPr="00504456">
              <w:rPr>
                <w:rFonts w:cs="Arial"/>
                <w:sz w:val="24"/>
              </w:rPr>
              <w:t>c</w:t>
            </w:r>
            <w:r w:rsidRPr="00504456">
              <w:rPr>
                <w:rFonts w:cs="Arial"/>
                <w:sz w:val="24"/>
              </w:rPr>
              <w:t xml:space="preserve">lause 22.14) in the Boroondara Planning Scheme and the schedules to </w:t>
            </w:r>
            <w:r w:rsidR="00476B0F" w:rsidRPr="00504456">
              <w:rPr>
                <w:rFonts w:cs="Arial"/>
                <w:sz w:val="24"/>
              </w:rPr>
              <w:t>c</w:t>
            </w:r>
            <w:r w:rsidRPr="00504456">
              <w:rPr>
                <w:rFonts w:cs="Arial"/>
                <w:sz w:val="24"/>
              </w:rPr>
              <w:t xml:space="preserve">lause 52.28-3, </w:t>
            </w:r>
            <w:r w:rsidR="003D5181" w:rsidRPr="00504456">
              <w:rPr>
                <w:rFonts w:cs="Arial"/>
                <w:sz w:val="24"/>
              </w:rPr>
              <w:t>p</w:t>
            </w:r>
            <w:r w:rsidRPr="00504456">
              <w:rPr>
                <w:rFonts w:cs="Arial"/>
                <w:sz w:val="24"/>
              </w:rPr>
              <w:t xml:space="preserve">rohibition of a gaming machine in a shopping complex, and </w:t>
            </w:r>
            <w:r w:rsidR="00476B0F" w:rsidRPr="00504456">
              <w:rPr>
                <w:rFonts w:cs="Arial"/>
                <w:sz w:val="24"/>
              </w:rPr>
              <w:t>c</w:t>
            </w:r>
            <w:r w:rsidRPr="00504456">
              <w:rPr>
                <w:rFonts w:cs="Arial"/>
                <w:sz w:val="24"/>
              </w:rPr>
              <w:t xml:space="preserve">lause 52.28-4, </w:t>
            </w:r>
            <w:r w:rsidR="003D5181" w:rsidRPr="00504456">
              <w:rPr>
                <w:rFonts w:cs="Arial"/>
                <w:sz w:val="24"/>
              </w:rPr>
              <w:t>p</w:t>
            </w:r>
            <w:r w:rsidRPr="00504456">
              <w:rPr>
                <w:rFonts w:cs="Arial"/>
                <w:sz w:val="24"/>
              </w:rPr>
              <w:t xml:space="preserve">rohibition of a gaming machine in strip shopping </w:t>
            </w:r>
            <w:proofErr w:type="spellStart"/>
            <w:r w:rsidRPr="00504456">
              <w:rPr>
                <w:rFonts w:cs="Arial"/>
                <w:sz w:val="24"/>
              </w:rPr>
              <w:t>centre</w:t>
            </w:r>
            <w:proofErr w:type="spellEnd"/>
            <w:r w:rsidRPr="00504456">
              <w:rPr>
                <w:rFonts w:cs="Arial"/>
                <w:sz w:val="24"/>
              </w:rPr>
              <w:t>.</w:t>
            </w:r>
          </w:p>
        </w:tc>
      </w:tr>
      <w:tr w:rsidR="00A14868" w:rsidRPr="00504456" w:rsidTr="00F03287">
        <w:tc>
          <w:tcPr>
            <w:tcW w:w="3936"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Statutory Planning</w:t>
            </w:r>
          </w:p>
        </w:tc>
        <w:tc>
          <w:tcPr>
            <w:tcW w:w="6095"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pStyle w:val="BodyText"/>
              <w:rPr>
                <w:rFonts w:cs="Arial"/>
                <w:sz w:val="24"/>
              </w:rPr>
            </w:pPr>
            <w:r w:rsidRPr="00504456">
              <w:rPr>
                <w:rFonts w:cs="Arial"/>
                <w:sz w:val="24"/>
              </w:rPr>
              <w:t xml:space="preserve">Assessing planning permit applications to install and use an </w:t>
            </w:r>
            <w:proofErr w:type="spellStart"/>
            <w:r w:rsidRPr="00504456">
              <w:rPr>
                <w:rFonts w:cs="Arial"/>
                <w:sz w:val="24"/>
              </w:rPr>
              <w:t>EGM</w:t>
            </w:r>
            <w:proofErr w:type="spellEnd"/>
            <w:r w:rsidRPr="00504456">
              <w:rPr>
                <w:rFonts w:cs="Arial"/>
                <w:sz w:val="24"/>
              </w:rPr>
              <w:t xml:space="preserve"> in the City of Boroondara and in </w:t>
            </w:r>
            <w:proofErr w:type="spellStart"/>
            <w:r w:rsidRPr="00504456">
              <w:rPr>
                <w:rFonts w:cs="Arial"/>
                <w:sz w:val="24"/>
              </w:rPr>
              <w:t>neighbouring</w:t>
            </w:r>
            <w:proofErr w:type="spellEnd"/>
            <w:r w:rsidRPr="00504456">
              <w:rPr>
                <w:rFonts w:cs="Arial"/>
                <w:sz w:val="24"/>
              </w:rPr>
              <w:t xml:space="preserve"> municipalities.</w:t>
            </w:r>
          </w:p>
        </w:tc>
      </w:tr>
      <w:tr w:rsidR="00A14868" w:rsidRPr="00504456" w:rsidTr="00F03287">
        <w:tc>
          <w:tcPr>
            <w:tcW w:w="3936"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tabs>
                <w:tab w:val="center" w:pos="4320"/>
                <w:tab w:val="right" w:pos="8640"/>
              </w:tabs>
              <w:spacing w:before="120" w:after="120" w:line="240" w:lineRule="exact"/>
              <w:rPr>
                <w:rFonts w:ascii="Arial" w:eastAsia="Calibri" w:hAnsi="Arial" w:cs="Arial"/>
                <w:bCs/>
              </w:rPr>
            </w:pPr>
            <w:r w:rsidRPr="00504456">
              <w:rPr>
                <w:rFonts w:ascii="Arial" w:eastAsia="Calibri" w:hAnsi="Arial" w:cs="Arial"/>
                <w:bCs/>
              </w:rPr>
              <w:t xml:space="preserve">Library, Arts and Cultural Services, Youth Services, </w:t>
            </w:r>
            <w:r w:rsidR="001B7B42" w:rsidRPr="00504456">
              <w:rPr>
                <w:rFonts w:ascii="Arial" w:eastAsia="Calibri" w:hAnsi="Arial" w:cs="Arial"/>
                <w:bCs/>
              </w:rPr>
              <w:t xml:space="preserve">Community Planning and Development, </w:t>
            </w:r>
            <w:r w:rsidRPr="00504456">
              <w:rPr>
                <w:rFonts w:ascii="Arial" w:eastAsia="Calibri" w:hAnsi="Arial" w:cs="Arial"/>
                <w:bCs/>
              </w:rPr>
              <w:lastRenderedPageBreak/>
              <w:t>Health, Ageing and Disability Services</w:t>
            </w:r>
            <w:r w:rsidR="00DF0AAB" w:rsidRPr="00504456">
              <w:rPr>
                <w:rFonts w:ascii="Arial" w:eastAsia="Calibri" w:hAnsi="Arial" w:cs="Arial"/>
                <w:bCs/>
              </w:rPr>
              <w:t>, Parks and Gardens</w:t>
            </w:r>
          </w:p>
        </w:tc>
        <w:tc>
          <w:tcPr>
            <w:tcW w:w="6095" w:type="dxa"/>
            <w:tcBorders>
              <w:top w:val="single" w:sz="8" w:space="0" w:color="9BBB59"/>
              <w:left w:val="single" w:sz="8" w:space="0" w:color="9BBB59"/>
              <w:bottom w:val="single" w:sz="8" w:space="0" w:color="9BBB59"/>
              <w:right w:val="single" w:sz="8" w:space="0" w:color="9BBB59"/>
            </w:tcBorders>
          </w:tcPr>
          <w:p w:rsidR="00A14868" w:rsidRPr="00504456" w:rsidRDefault="00A14868" w:rsidP="00F03287">
            <w:pPr>
              <w:pStyle w:val="BodyText"/>
              <w:rPr>
                <w:rFonts w:cs="Arial"/>
                <w:sz w:val="24"/>
              </w:rPr>
            </w:pPr>
            <w:r w:rsidRPr="00504456">
              <w:rPr>
                <w:rFonts w:cs="Arial"/>
                <w:sz w:val="24"/>
              </w:rPr>
              <w:lastRenderedPageBreak/>
              <w:t xml:space="preserve">Promoting, encouraging and supporting the local community to pursue balanced lifestyles by actively participating in social, cultural and recreational </w:t>
            </w:r>
            <w:r w:rsidRPr="00504456">
              <w:rPr>
                <w:rFonts w:cs="Arial"/>
                <w:sz w:val="24"/>
              </w:rPr>
              <w:lastRenderedPageBreak/>
              <w:t>opportunities through relevant policies.</w:t>
            </w:r>
          </w:p>
        </w:tc>
      </w:tr>
    </w:tbl>
    <w:p w:rsidR="00A14868" w:rsidRPr="00504456" w:rsidRDefault="00A14868" w:rsidP="00A14868">
      <w:pPr>
        <w:pStyle w:val="Heading2"/>
      </w:pPr>
      <w:bookmarkStart w:id="363" w:name="_Toc355356609"/>
      <w:bookmarkStart w:id="364" w:name="_Toc355356786"/>
      <w:bookmarkStart w:id="365" w:name="_Toc355356951"/>
      <w:bookmarkStart w:id="366" w:name="_Toc355614132"/>
      <w:bookmarkStart w:id="367" w:name="_Toc372787043"/>
      <w:bookmarkEnd w:id="363"/>
      <w:bookmarkEnd w:id="364"/>
      <w:bookmarkEnd w:id="365"/>
      <w:bookmarkEnd w:id="366"/>
      <w:r w:rsidRPr="00504456">
        <w:lastRenderedPageBreak/>
        <w:t>Financial implications</w:t>
      </w:r>
      <w:bookmarkEnd w:id="367"/>
    </w:p>
    <w:p w:rsidR="00A14868" w:rsidRPr="00504456" w:rsidRDefault="00A14868" w:rsidP="00A14868">
      <w:pPr>
        <w:pStyle w:val="BodyText"/>
        <w:rPr>
          <w:sz w:val="24"/>
        </w:rPr>
      </w:pPr>
      <w:r w:rsidRPr="00504456">
        <w:rPr>
          <w:sz w:val="24"/>
        </w:rPr>
        <w:t xml:space="preserve">There is no operational budget to cover the costs, such as legal </w:t>
      </w:r>
      <w:r w:rsidR="008767DA" w:rsidRPr="00504456">
        <w:rPr>
          <w:sz w:val="24"/>
        </w:rPr>
        <w:t xml:space="preserve">representation </w:t>
      </w:r>
      <w:r w:rsidRPr="00504456">
        <w:rPr>
          <w:sz w:val="24"/>
        </w:rPr>
        <w:t>or consultant services, associated with responding to gaming</w:t>
      </w:r>
      <w:r w:rsidR="00AE73E9" w:rsidRPr="00504456">
        <w:rPr>
          <w:sz w:val="24"/>
        </w:rPr>
        <w:t xml:space="preserve"> </w:t>
      </w:r>
      <w:proofErr w:type="spellStart"/>
      <w:r w:rsidR="00AE73E9" w:rsidRPr="00504456">
        <w:rPr>
          <w:sz w:val="24"/>
        </w:rPr>
        <w:t>licence</w:t>
      </w:r>
      <w:proofErr w:type="spellEnd"/>
      <w:r w:rsidR="00AE73E9" w:rsidRPr="00504456">
        <w:rPr>
          <w:sz w:val="24"/>
        </w:rPr>
        <w:t xml:space="preserve"> applications</w:t>
      </w:r>
      <w:r w:rsidR="008767DA" w:rsidRPr="00504456">
        <w:rPr>
          <w:sz w:val="24"/>
        </w:rPr>
        <w:t xml:space="preserve"> </w:t>
      </w:r>
      <w:r w:rsidRPr="00504456">
        <w:rPr>
          <w:sz w:val="24"/>
        </w:rPr>
        <w:t xml:space="preserve">at the </w:t>
      </w:r>
      <w:proofErr w:type="spellStart"/>
      <w:r w:rsidRPr="00504456">
        <w:rPr>
          <w:sz w:val="24"/>
        </w:rPr>
        <w:t>VCGLR</w:t>
      </w:r>
      <w:proofErr w:type="spellEnd"/>
      <w:r w:rsidRPr="00504456">
        <w:rPr>
          <w:sz w:val="24"/>
        </w:rPr>
        <w:t xml:space="preserve">. </w:t>
      </w:r>
      <w:r w:rsidR="00677883" w:rsidRPr="00504456">
        <w:rPr>
          <w:sz w:val="24"/>
        </w:rPr>
        <w:t>Where required</w:t>
      </w:r>
      <w:r w:rsidR="00265DB0" w:rsidRPr="00504456">
        <w:rPr>
          <w:sz w:val="24"/>
        </w:rPr>
        <w:t xml:space="preserve">, </w:t>
      </w:r>
      <w:r w:rsidR="008767DA" w:rsidRPr="00504456">
        <w:rPr>
          <w:sz w:val="24"/>
        </w:rPr>
        <w:t>a</w:t>
      </w:r>
      <w:r w:rsidR="007F5EB8" w:rsidRPr="00504456">
        <w:rPr>
          <w:sz w:val="24"/>
        </w:rPr>
        <w:t>pproval for a</w:t>
      </w:r>
      <w:r w:rsidR="008767DA" w:rsidRPr="00504456">
        <w:rPr>
          <w:sz w:val="24"/>
        </w:rPr>
        <w:t xml:space="preserve"> budget amendment will be sought</w:t>
      </w:r>
      <w:r w:rsidR="00AE37C5" w:rsidRPr="00504456">
        <w:rPr>
          <w:sz w:val="24"/>
        </w:rPr>
        <w:t xml:space="preserve"> as per Council's financial procedures and delegations</w:t>
      </w:r>
      <w:r w:rsidR="008767DA" w:rsidRPr="00504456">
        <w:rPr>
          <w:sz w:val="24"/>
        </w:rPr>
        <w:t xml:space="preserve"> before proceeding to</w:t>
      </w:r>
      <w:r w:rsidRPr="00504456">
        <w:rPr>
          <w:sz w:val="24"/>
        </w:rPr>
        <w:t xml:space="preserve"> appoint consultants and legal </w:t>
      </w:r>
      <w:r w:rsidR="008767DA" w:rsidRPr="00504456">
        <w:rPr>
          <w:sz w:val="24"/>
        </w:rPr>
        <w:t>representatives</w:t>
      </w:r>
      <w:r w:rsidR="00664757" w:rsidRPr="00504456">
        <w:rPr>
          <w:sz w:val="24"/>
        </w:rPr>
        <w:t>.</w:t>
      </w:r>
      <w:r w:rsidRPr="00504456">
        <w:rPr>
          <w:sz w:val="24"/>
        </w:rPr>
        <w:t xml:space="preserve"> </w:t>
      </w:r>
      <w:r w:rsidRPr="00504456">
        <w:rPr>
          <w:sz w:val="24"/>
        </w:rPr>
        <w:softHyphen/>
        <w:t>The remaining strategies will be implemented within the relevant department</w:t>
      </w:r>
      <w:r w:rsidR="00B9208E" w:rsidRPr="00504456">
        <w:rPr>
          <w:sz w:val="24"/>
        </w:rPr>
        <w:t>’</w:t>
      </w:r>
      <w:r w:rsidR="00476B0F" w:rsidRPr="00504456">
        <w:rPr>
          <w:sz w:val="24"/>
        </w:rPr>
        <w:t>s</w:t>
      </w:r>
      <w:r w:rsidRPr="00504456">
        <w:rPr>
          <w:sz w:val="24"/>
        </w:rPr>
        <w:t xml:space="preserve"> existing budget and resources. </w:t>
      </w:r>
    </w:p>
    <w:p w:rsidR="00A14868" w:rsidRPr="00504456" w:rsidRDefault="00A14868" w:rsidP="00A14868">
      <w:pPr>
        <w:pStyle w:val="Heading2"/>
      </w:pPr>
      <w:bookmarkStart w:id="368" w:name="_Toc372787044"/>
      <w:r w:rsidRPr="00504456">
        <w:t>Monitoring</w:t>
      </w:r>
      <w:bookmarkEnd w:id="368"/>
    </w:p>
    <w:p w:rsidR="004106D8" w:rsidRPr="00504456" w:rsidRDefault="00A14868" w:rsidP="00A14868">
      <w:pPr>
        <w:pStyle w:val="BodyText"/>
        <w:rPr>
          <w:sz w:val="24"/>
        </w:rPr>
      </w:pPr>
      <w:r w:rsidRPr="00504456">
        <w:rPr>
          <w:sz w:val="24"/>
        </w:rPr>
        <w:t>Council will monitor implementation of the Responsible Gambling Policy 2013-</w:t>
      </w:r>
      <w:r w:rsidR="008614B6" w:rsidRPr="00504456">
        <w:rPr>
          <w:sz w:val="24"/>
        </w:rPr>
        <w:t>18 annually</w:t>
      </w:r>
      <w:r w:rsidRPr="00504456">
        <w:rPr>
          <w:sz w:val="24"/>
        </w:rPr>
        <w:t>. In addition, Council will review the Responsible Gambling Policy 2013-1</w:t>
      </w:r>
      <w:r w:rsidR="00DF0AAB" w:rsidRPr="00504456">
        <w:rPr>
          <w:sz w:val="24"/>
        </w:rPr>
        <w:t>8</w:t>
      </w:r>
      <w:r w:rsidRPr="00504456">
        <w:rPr>
          <w:sz w:val="24"/>
        </w:rPr>
        <w:t xml:space="preserve"> every four years or earlier as required by legislative changes to ensure that the policy is consistent with Council's strategic directions. The Responsible Gambling Policy 2013-1</w:t>
      </w:r>
      <w:r w:rsidR="00DF0AAB" w:rsidRPr="00504456">
        <w:rPr>
          <w:sz w:val="24"/>
        </w:rPr>
        <w:t>8</w:t>
      </w:r>
      <w:r w:rsidR="00CD535E" w:rsidRPr="00504456">
        <w:rPr>
          <w:sz w:val="24"/>
        </w:rPr>
        <w:t xml:space="preserve"> </w:t>
      </w:r>
      <w:proofErr w:type="gramStart"/>
      <w:r w:rsidRPr="00504456">
        <w:rPr>
          <w:sz w:val="24"/>
        </w:rPr>
        <w:t>review</w:t>
      </w:r>
      <w:proofErr w:type="gramEnd"/>
      <w:r w:rsidRPr="00504456">
        <w:rPr>
          <w:sz w:val="24"/>
        </w:rPr>
        <w:t xml:space="preserve"> will reflect any significant Australian or Victorian Government legislative changes.</w:t>
      </w:r>
    </w:p>
    <w:p w:rsidR="00A14868" w:rsidRPr="00504456" w:rsidRDefault="00A14868" w:rsidP="00A14868">
      <w:pPr>
        <w:pStyle w:val="Heading1"/>
      </w:pPr>
      <w:bookmarkStart w:id="369" w:name="_Toc372787045"/>
      <w:r w:rsidRPr="00504456">
        <w:t>References</w:t>
      </w:r>
      <w:bookmarkEnd w:id="369"/>
    </w:p>
    <w:p w:rsidR="00A14868" w:rsidRPr="00504456" w:rsidRDefault="00A14868" w:rsidP="00A14868">
      <w:pPr>
        <w:pStyle w:val="Heading2"/>
      </w:pPr>
      <w:bookmarkStart w:id="370" w:name="_Toc372787046"/>
      <w:r w:rsidRPr="00504456">
        <w:t>Related documents</w:t>
      </w:r>
      <w:bookmarkEnd w:id="370"/>
    </w:p>
    <w:p w:rsidR="00A14868" w:rsidRPr="00504456" w:rsidRDefault="00A14868" w:rsidP="00A14868">
      <w:pPr>
        <w:pStyle w:val="BodyText"/>
        <w:numPr>
          <w:ilvl w:val="0"/>
          <w:numId w:val="17"/>
        </w:numPr>
        <w:rPr>
          <w:sz w:val="24"/>
        </w:rPr>
      </w:pPr>
      <w:r w:rsidRPr="00504456">
        <w:rPr>
          <w:sz w:val="24"/>
        </w:rPr>
        <w:t>Boroondara Planning Scheme</w:t>
      </w:r>
    </w:p>
    <w:p w:rsidR="00A14868" w:rsidRPr="00504456" w:rsidRDefault="00A14868" w:rsidP="00A14868">
      <w:pPr>
        <w:pStyle w:val="BodyText"/>
        <w:numPr>
          <w:ilvl w:val="0"/>
          <w:numId w:val="17"/>
        </w:numPr>
        <w:rPr>
          <w:sz w:val="24"/>
        </w:rPr>
      </w:pPr>
      <w:r w:rsidRPr="00504456">
        <w:rPr>
          <w:sz w:val="24"/>
        </w:rPr>
        <w:t>Boroondara Public Health and Wellbeing Plan 2013-17</w:t>
      </w:r>
    </w:p>
    <w:p w:rsidR="00A14868" w:rsidRPr="00504456" w:rsidRDefault="00A14868" w:rsidP="00A14868">
      <w:pPr>
        <w:pStyle w:val="BodyText"/>
        <w:numPr>
          <w:ilvl w:val="0"/>
          <w:numId w:val="17"/>
        </w:numPr>
        <w:rPr>
          <w:sz w:val="24"/>
        </w:rPr>
      </w:pPr>
      <w:r w:rsidRPr="00504456">
        <w:rPr>
          <w:sz w:val="24"/>
        </w:rPr>
        <w:t>City of Boroondara Council Plan June 2012</w:t>
      </w:r>
    </w:p>
    <w:p w:rsidR="001E1327" w:rsidRPr="00504456" w:rsidRDefault="001E1327" w:rsidP="00A14868">
      <w:pPr>
        <w:pStyle w:val="BodyText"/>
        <w:numPr>
          <w:ilvl w:val="0"/>
          <w:numId w:val="17"/>
        </w:numPr>
        <w:rPr>
          <w:sz w:val="24"/>
        </w:rPr>
      </w:pPr>
      <w:r w:rsidRPr="00504456">
        <w:rPr>
          <w:sz w:val="24"/>
        </w:rPr>
        <w:t>City of Boroondara Council Plan 2013-17</w:t>
      </w:r>
    </w:p>
    <w:p w:rsidR="00A14868" w:rsidRPr="00504456" w:rsidRDefault="00A14868" w:rsidP="00A14868">
      <w:pPr>
        <w:pStyle w:val="BodyText"/>
        <w:numPr>
          <w:ilvl w:val="0"/>
          <w:numId w:val="17"/>
        </w:numPr>
        <w:rPr>
          <w:sz w:val="24"/>
        </w:rPr>
      </w:pPr>
      <w:r w:rsidRPr="00504456">
        <w:rPr>
          <w:sz w:val="24"/>
        </w:rPr>
        <w:t>Electronic Gaming Machine (</w:t>
      </w:r>
      <w:proofErr w:type="spellStart"/>
      <w:r w:rsidRPr="00504456">
        <w:rPr>
          <w:sz w:val="24"/>
        </w:rPr>
        <w:t>EGM</w:t>
      </w:r>
      <w:proofErr w:type="spellEnd"/>
      <w:r w:rsidRPr="00504456">
        <w:rPr>
          <w:sz w:val="24"/>
        </w:rPr>
        <w:t>) Process Guidelines</w:t>
      </w:r>
    </w:p>
    <w:p w:rsidR="00A14868" w:rsidRPr="00504456" w:rsidRDefault="00A14868" w:rsidP="00A14868">
      <w:pPr>
        <w:pStyle w:val="BodyText"/>
        <w:numPr>
          <w:ilvl w:val="0"/>
          <w:numId w:val="17"/>
        </w:numPr>
        <w:rPr>
          <w:i/>
          <w:sz w:val="24"/>
        </w:rPr>
      </w:pPr>
      <w:r w:rsidRPr="00504456">
        <w:rPr>
          <w:i/>
          <w:sz w:val="24"/>
        </w:rPr>
        <w:t>Gambling Regulation Act 2003</w:t>
      </w:r>
    </w:p>
    <w:p w:rsidR="00A14868" w:rsidRPr="00504456" w:rsidRDefault="00A14868" w:rsidP="00A14868">
      <w:pPr>
        <w:pStyle w:val="BodyText"/>
        <w:numPr>
          <w:ilvl w:val="0"/>
          <w:numId w:val="17"/>
        </w:numPr>
        <w:rPr>
          <w:i/>
          <w:sz w:val="24"/>
        </w:rPr>
      </w:pPr>
      <w:r w:rsidRPr="00504456">
        <w:rPr>
          <w:i/>
          <w:sz w:val="24"/>
        </w:rPr>
        <w:t>Local Government Act 1989</w:t>
      </w:r>
    </w:p>
    <w:p w:rsidR="00A14868" w:rsidRPr="00504456" w:rsidRDefault="00BF74CC" w:rsidP="00A14868">
      <w:pPr>
        <w:pStyle w:val="BodyText"/>
        <w:numPr>
          <w:ilvl w:val="0"/>
          <w:numId w:val="17"/>
        </w:numPr>
        <w:rPr>
          <w:i/>
          <w:sz w:val="24"/>
        </w:rPr>
      </w:pPr>
      <w:r w:rsidRPr="00504456">
        <w:rPr>
          <w:i/>
          <w:sz w:val="24"/>
        </w:rPr>
        <w:t>Our Boroondara - Our City Our Future</w:t>
      </w:r>
    </w:p>
    <w:p w:rsidR="00A14868" w:rsidRPr="00504456" w:rsidRDefault="00A14868" w:rsidP="00A14868">
      <w:pPr>
        <w:pStyle w:val="BodyText"/>
        <w:numPr>
          <w:ilvl w:val="0"/>
          <w:numId w:val="17"/>
        </w:numPr>
        <w:rPr>
          <w:i/>
          <w:sz w:val="24"/>
        </w:rPr>
      </w:pPr>
      <w:r w:rsidRPr="00504456">
        <w:rPr>
          <w:i/>
          <w:sz w:val="24"/>
        </w:rPr>
        <w:t>Planning and Environment Act 1987</w:t>
      </w:r>
    </w:p>
    <w:p w:rsidR="009F4C04" w:rsidRPr="00504456" w:rsidRDefault="00A14868" w:rsidP="004106D8">
      <w:pPr>
        <w:pStyle w:val="Heading2"/>
      </w:pPr>
      <w:bookmarkStart w:id="371" w:name="_Toc372787047"/>
      <w:r w:rsidRPr="00504456">
        <w:t>Other references</w:t>
      </w:r>
      <w:bookmarkEnd w:id="371"/>
    </w:p>
    <w:p w:rsidR="00DE437B" w:rsidRPr="00504456" w:rsidRDefault="00DE437B" w:rsidP="00DE437B">
      <w:pPr>
        <w:pStyle w:val="BodyText"/>
        <w:numPr>
          <w:ilvl w:val="0"/>
          <w:numId w:val="17"/>
        </w:numPr>
        <w:rPr>
          <w:sz w:val="24"/>
          <w:lang w:val="en-AU"/>
        </w:rPr>
      </w:pPr>
      <w:r w:rsidRPr="00504456">
        <w:rPr>
          <w:sz w:val="24"/>
          <w:lang w:val="en-AU"/>
        </w:rPr>
        <w:t xml:space="preserve">Australian Government Productivity Commission, </w:t>
      </w:r>
      <w:r w:rsidRPr="00504456">
        <w:rPr>
          <w:i/>
          <w:sz w:val="24"/>
          <w:lang w:val="en-AU"/>
        </w:rPr>
        <w:t>Australia's Gambling Industries: Inquiry Report</w:t>
      </w:r>
      <w:r w:rsidRPr="00504456">
        <w:rPr>
          <w:sz w:val="24"/>
          <w:lang w:val="en-AU"/>
        </w:rPr>
        <w:t>, Canberra, 1999.</w:t>
      </w:r>
    </w:p>
    <w:p w:rsidR="00DE437B" w:rsidRPr="00504456" w:rsidRDefault="00DE437B" w:rsidP="004106D8">
      <w:pPr>
        <w:pStyle w:val="BodyText"/>
        <w:numPr>
          <w:ilvl w:val="0"/>
          <w:numId w:val="17"/>
        </w:numPr>
        <w:rPr>
          <w:sz w:val="24"/>
          <w:lang w:val="en-AU"/>
        </w:rPr>
      </w:pPr>
      <w:r w:rsidRPr="00504456">
        <w:rPr>
          <w:sz w:val="24"/>
          <w:lang w:val="en-AU"/>
        </w:rPr>
        <w:t xml:space="preserve">Australian Government Productivity Commission, </w:t>
      </w:r>
      <w:r w:rsidRPr="00504456">
        <w:rPr>
          <w:i/>
          <w:sz w:val="24"/>
          <w:lang w:val="en-AU"/>
        </w:rPr>
        <w:t>Gambling, Report no.50</w:t>
      </w:r>
      <w:r w:rsidRPr="00504456">
        <w:rPr>
          <w:sz w:val="24"/>
          <w:lang w:val="en-AU"/>
        </w:rPr>
        <w:t>, Canberra, 2010.</w:t>
      </w:r>
    </w:p>
    <w:p w:rsidR="00DE437B" w:rsidRPr="00504456" w:rsidRDefault="00DE437B" w:rsidP="004106D8">
      <w:pPr>
        <w:pStyle w:val="BodyText"/>
        <w:numPr>
          <w:ilvl w:val="0"/>
          <w:numId w:val="17"/>
        </w:numPr>
        <w:rPr>
          <w:sz w:val="24"/>
          <w:lang w:val="en-AU"/>
        </w:rPr>
      </w:pPr>
      <w:r w:rsidRPr="00504456">
        <w:rPr>
          <w:sz w:val="24"/>
          <w:lang w:val="en-AU"/>
        </w:rPr>
        <w:t xml:space="preserve">Australian Government, </w:t>
      </w:r>
      <w:r w:rsidRPr="00504456">
        <w:rPr>
          <w:i/>
          <w:sz w:val="24"/>
          <w:lang w:val="en-AU"/>
        </w:rPr>
        <w:t>Problem gambling: For industry - gambling reform</w:t>
      </w:r>
      <w:r w:rsidRPr="00504456">
        <w:rPr>
          <w:sz w:val="24"/>
          <w:lang w:val="en-AU"/>
        </w:rPr>
        <w:t>, Canberra, 2013, viewed March 2013.                           &lt;http://www.problemgambling.gov.au/gambling-reforms-what-does-this-mean-for-industry/&gt;</w:t>
      </w:r>
    </w:p>
    <w:p w:rsidR="00DE437B" w:rsidRPr="00504456" w:rsidRDefault="00DE437B" w:rsidP="004106D8">
      <w:pPr>
        <w:pStyle w:val="BodyText"/>
        <w:numPr>
          <w:ilvl w:val="0"/>
          <w:numId w:val="17"/>
        </w:numPr>
        <w:rPr>
          <w:sz w:val="24"/>
          <w:lang w:val="en-AU"/>
        </w:rPr>
      </w:pPr>
      <w:r w:rsidRPr="00504456">
        <w:rPr>
          <w:sz w:val="24"/>
          <w:lang w:val="en-AU"/>
        </w:rPr>
        <w:lastRenderedPageBreak/>
        <w:t xml:space="preserve">Australian Government, </w:t>
      </w:r>
      <w:r w:rsidRPr="00504456">
        <w:rPr>
          <w:i/>
          <w:sz w:val="24"/>
          <w:lang w:val="en-AU"/>
        </w:rPr>
        <w:t>Problem Gambling: the facts</w:t>
      </w:r>
      <w:r w:rsidRPr="00504456">
        <w:rPr>
          <w:sz w:val="24"/>
          <w:lang w:val="en-AU"/>
        </w:rPr>
        <w:t>, Canberra, 2013, viewed March 2013. &lt;http://www.problemgambling.gov.au/facts/&gt;</w:t>
      </w:r>
    </w:p>
    <w:p w:rsidR="00DE437B" w:rsidRPr="00504456" w:rsidRDefault="00DE437B" w:rsidP="004106D8">
      <w:pPr>
        <w:pStyle w:val="BodyText"/>
        <w:numPr>
          <w:ilvl w:val="0"/>
          <w:numId w:val="17"/>
        </w:numPr>
        <w:rPr>
          <w:sz w:val="24"/>
          <w:lang w:val="en-AU"/>
        </w:rPr>
      </w:pPr>
      <w:r w:rsidRPr="00504456">
        <w:rPr>
          <w:sz w:val="24"/>
          <w:lang w:val="en-AU"/>
        </w:rPr>
        <w:t>City of Boroondara, Community Assets and Wellbeing Survey, Melbourne, 2008.</w:t>
      </w:r>
    </w:p>
    <w:p w:rsidR="00DE437B" w:rsidRPr="00504456" w:rsidRDefault="00DE437B" w:rsidP="004106D8">
      <w:pPr>
        <w:pStyle w:val="BodyText"/>
        <w:numPr>
          <w:ilvl w:val="0"/>
          <w:numId w:val="17"/>
        </w:numPr>
        <w:rPr>
          <w:sz w:val="24"/>
          <w:lang w:val="en-AU"/>
        </w:rPr>
      </w:pPr>
      <w:r w:rsidRPr="00504456">
        <w:rPr>
          <w:sz w:val="24"/>
          <w:lang w:val="en-AU"/>
        </w:rPr>
        <w:t>City of Boroondara, unpublished data from the telephone survey for the development of the draft Boroondara Public Health and Wellbeing Plan, Melbourne, December 2012.</w:t>
      </w:r>
    </w:p>
    <w:p w:rsidR="00DE437B" w:rsidRPr="00504456" w:rsidRDefault="00DE437B" w:rsidP="004106D8">
      <w:pPr>
        <w:pStyle w:val="BodyText"/>
        <w:numPr>
          <w:ilvl w:val="0"/>
          <w:numId w:val="17"/>
        </w:numPr>
        <w:rPr>
          <w:sz w:val="24"/>
          <w:lang w:val="en-AU"/>
        </w:rPr>
      </w:pPr>
      <w:r w:rsidRPr="00504456">
        <w:rPr>
          <w:sz w:val="24"/>
          <w:lang w:val="en-AU"/>
        </w:rPr>
        <w:t xml:space="preserve">Gambling Research Australia, </w:t>
      </w:r>
      <w:r w:rsidRPr="00504456">
        <w:rPr>
          <w:i/>
          <w:sz w:val="24"/>
          <w:lang w:val="en-AU"/>
        </w:rPr>
        <w:t>Problem Gambling and Harm: Towards a National Commission</w:t>
      </w:r>
      <w:r w:rsidRPr="00504456">
        <w:rPr>
          <w:sz w:val="24"/>
          <w:lang w:val="en-AU"/>
        </w:rPr>
        <w:t>, Canberra, 2010.</w:t>
      </w:r>
    </w:p>
    <w:p w:rsidR="00DE437B" w:rsidRPr="00504456" w:rsidRDefault="00DE437B" w:rsidP="004106D8">
      <w:pPr>
        <w:pStyle w:val="BodyText"/>
        <w:numPr>
          <w:ilvl w:val="0"/>
          <w:numId w:val="17"/>
        </w:numPr>
        <w:rPr>
          <w:sz w:val="24"/>
          <w:lang w:val="en-AU"/>
        </w:rPr>
      </w:pPr>
      <w:r w:rsidRPr="00504456">
        <w:rPr>
          <w:sz w:val="24"/>
          <w:lang w:val="en-AU"/>
        </w:rPr>
        <w:t xml:space="preserve">Inner East Primary Care Partnership, </w:t>
      </w:r>
      <w:r w:rsidRPr="00504456">
        <w:rPr>
          <w:i/>
          <w:sz w:val="24"/>
          <w:lang w:val="en-AU"/>
        </w:rPr>
        <w:t>Health promotion resource guide for problem gambling prevention in Melbourne's East</w:t>
      </w:r>
      <w:r w:rsidRPr="00504456">
        <w:rPr>
          <w:sz w:val="24"/>
          <w:lang w:val="en-AU"/>
        </w:rPr>
        <w:t>, Melbourne, 2009.</w:t>
      </w:r>
    </w:p>
    <w:p w:rsidR="00DE437B" w:rsidRPr="00504456" w:rsidRDefault="00DE437B" w:rsidP="004106D8">
      <w:pPr>
        <w:pStyle w:val="BodyText"/>
        <w:numPr>
          <w:ilvl w:val="0"/>
          <w:numId w:val="17"/>
        </w:numPr>
        <w:rPr>
          <w:sz w:val="24"/>
          <w:lang w:val="en-AU"/>
        </w:rPr>
      </w:pPr>
      <w:r w:rsidRPr="00504456">
        <w:rPr>
          <w:sz w:val="24"/>
          <w:lang w:val="en-AU"/>
        </w:rPr>
        <w:t>Liberal Party of Australia, The Coalition's Policy to Help Problem Gamblers, viewed November 2013. &lt;http://www.nationals.org.au/Portals/0/2013/policy/The%20Coalition’s%20Policy%20to%20Help%20Problem%20Gamblers.pdf&gt;</w:t>
      </w:r>
    </w:p>
    <w:p w:rsidR="00DE437B" w:rsidRPr="00504456" w:rsidRDefault="00DE437B" w:rsidP="004106D8">
      <w:pPr>
        <w:pStyle w:val="BodyText"/>
        <w:numPr>
          <w:ilvl w:val="0"/>
          <w:numId w:val="17"/>
        </w:numPr>
        <w:rPr>
          <w:sz w:val="24"/>
          <w:lang w:val="en-AU"/>
        </w:rPr>
      </w:pPr>
      <w:proofErr w:type="spellStart"/>
      <w:r w:rsidRPr="00504456">
        <w:rPr>
          <w:sz w:val="24"/>
          <w:lang w:val="en-AU"/>
        </w:rPr>
        <w:t>Tomazin</w:t>
      </w:r>
      <w:proofErr w:type="spellEnd"/>
      <w:r w:rsidRPr="00504456">
        <w:rPr>
          <w:sz w:val="24"/>
          <w:lang w:val="en-AU"/>
        </w:rPr>
        <w:t>, Farrah, '</w:t>
      </w:r>
      <w:proofErr w:type="spellStart"/>
      <w:r w:rsidRPr="00504456">
        <w:rPr>
          <w:sz w:val="24"/>
          <w:lang w:val="en-AU"/>
        </w:rPr>
        <w:t>Baillieu</w:t>
      </w:r>
      <w:proofErr w:type="spellEnd"/>
      <w:r w:rsidRPr="00504456">
        <w:rPr>
          <w:sz w:val="24"/>
          <w:lang w:val="en-AU"/>
        </w:rPr>
        <w:t xml:space="preserve"> breaks pokies vow,' </w:t>
      </w:r>
      <w:r w:rsidRPr="00504456">
        <w:rPr>
          <w:i/>
          <w:sz w:val="24"/>
          <w:lang w:val="en-AU"/>
        </w:rPr>
        <w:t>The Age</w:t>
      </w:r>
      <w:r w:rsidRPr="00504456">
        <w:rPr>
          <w:sz w:val="24"/>
          <w:lang w:val="en-AU"/>
        </w:rPr>
        <w:t>, Melbourne, 5 February 2012.</w:t>
      </w:r>
    </w:p>
    <w:p w:rsidR="00DE437B" w:rsidRPr="00504456" w:rsidRDefault="00DE437B" w:rsidP="004106D8">
      <w:pPr>
        <w:pStyle w:val="BodyText"/>
        <w:numPr>
          <w:ilvl w:val="0"/>
          <w:numId w:val="17"/>
        </w:numPr>
        <w:rPr>
          <w:sz w:val="24"/>
          <w:lang w:val="en-AU"/>
        </w:rPr>
      </w:pPr>
      <w:r w:rsidRPr="00504456">
        <w:rPr>
          <w:sz w:val="24"/>
          <w:lang w:val="en-AU"/>
        </w:rPr>
        <w:t xml:space="preserve">Victorian Commission for Gambling and Liquor Regulation, </w:t>
      </w:r>
      <w:r w:rsidRPr="00504456">
        <w:rPr>
          <w:i/>
          <w:sz w:val="24"/>
          <w:lang w:val="en-AU"/>
        </w:rPr>
        <w:t>Community benefit statements</w:t>
      </w:r>
      <w:r w:rsidRPr="00504456">
        <w:rPr>
          <w:sz w:val="24"/>
          <w:lang w:val="en-AU"/>
        </w:rPr>
        <w:t>, Melbourne, 2013, viewed March 2013. &lt;www.vcglr.vic.gov.au&gt;</w:t>
      </w:r>
    </w:p>
    <w:p w:rsidR="00DE437B" w:rsidRPr="00504456" w:rsidRDefault="00DE437B" w:rsidP="004106D8">
      <w:pPr>
        <w:pStyle w:val="BodyText"/>
        <w:numPr>
          <w:ilvl w:val="0"/>
          <w:numId w:val="17"/>
        </w:numPr>
        <w:rPr>
          <w:sz w:val="24"/>
          <w:lang w:val="en-AU"/>
        </w:rPr>
      </w:pPr>
      <w:r w:rsidRPr="00504456">
        <w:rPr>
          <w:sz w:val="24"/>
          <w:lang w:val="en-AU"/>
        </w:rPr>
        <w:t>Victorian Commission for Gambling and Liquor Regulation, Research and statistics, Melbourne, 2013, viewed March 2013. &lt;http://www.vcglr.vic.gov.au&gt;</w:t>
      </w:r>
    </w:p>
    <w:p w:rsidR="00DE437B" w:rsidRPr="00504456" w:rsidRDefault="00DE437B" w:rsidP="004106D8">
      <w:pPr>
        <w:pStyle w:val="BodyText"/>
        <w:numPr>
          <w:ilvl w:val="0"/>
          <w:numId w:val="17"/>
        </w:numPr>
        <w:rPr>
          <w:sz w:val="24"/>
          <w:lang w:val="en-AU"/>
        </w:rPr>
      </w:pPr>
      <w:r w:rsidRPr="00504456">
        <w:rPr>
          <w:sz w:val="24"/>
          <w:lang w:val="en-AU"/>
        </w:rPr>
        <w:t xml:space="preserve">Victorian Competition and Efficiency Commission, </w:t>
      </w:r>
      <w:r w:rsidRPr="00504456">
        <w:rPr>
          <w:i/>
          <w:sz w:val="24"/>
          <w:lang w:val="en-AU"/>
        </w:rPr>
        <w:t>Counting the Cost: Inquiry into the Costs of Problem Gambling</w:t>
      </w:r>
      <w:r w:rsidRPr="00504456">
        <w:rPr>
          <w:sz w:val="24"/>
          <w:lang w:val="en-AU"/>
        </w:rPr>
        <w:t>, December 2012.</w:t>
      </w:r>
    </w:p>
    <w:p w:rsidR="00DE437B" w:rsidRPr="00504456" w:rsidRDefault="00DE437B" w:rsidP="004106D8">
      <w:pPr>
        <w:pStyle w:val="BodyText"/>
        <w:numPr>
          <w:ilvl w:val="0"/>
          <w:numId w:val="17"/>
        </w:numPr>
        <w:rPr>
          <w:sz w:val="24"/>
          <w:lang w:val="en-AU"/>
        </w:rPr>
      </w:pPr>
      <w:r w:rsidRPr="00504456">
        <w:rPr>
          <w:sz w:val="24"/>
          <w:lang w:val="en-AU"/>
        </w:rPr>
        <w:t xml:space="preserve">Victorian Department of Justice, </w:t>
      </w:r>
      <w:r w:rsidRPr="00504456">
        <w:rPr>
          <w:i/>
          <w:sz w:val="24"/>
          <w:lang w:val="en-AU"/>
        </w:rPr>
        <w:t>A guide to health promotion approach to problem gambling</w:t>
      </w:r>
      <w:r w:rsidRPr="00504456">
        <w:rPr>
          <w:sz w:val="24"/>
          <w:lang w:val="en-AU"/>
        </w:rPr>
        <w:t>, Melbourne, 2010.</w:t>
      </w:r>
    </w:p>
    <w:p w:rsidR="00DE437B" w:rsidRPr="00504456" w:rsidRDefault="00DE437B" w:rsidP="004106D8">
      <w:pPr>
        <w:pStyle w:val="BodyText"/>
        <w:numPr>
          <w:ilvl w:val="0"/>
          <w:numId w:val="17"/>
        </w:numPr>
        <w:rPr>
          <w:sz w:val="24"/>
          <w:lang w:val="en-AU"/>
        </w:rPr>
      </w:pPr>
      <w:r w:rsidRPr="00504456">
        <w:rPr>
          <w:sz w:val="24"/>
          <w:lang w:val="en-AU"/>
        </w:rPr>
        <w:t xml:space="preserve">Victorian Department of Justice, </w:t>
      </w:r>
      <w:r w:rsidRPr="00504456">
        <w:rPr>
          <w:i/>
          <w:sz w:val="24"/>
          <w:lang w:val="en-AU"/>
        </w:rPr>
        <w:t>Evaluation of the removal of ATMs from gaming venues in Victoria</w:t>
      </w:r>
      <w:r w:rsidRPr="00504456">
        <w:rPr>
          <w:sz w:val="24"/>
          <w:lang w:val="en-AU"/>
        </w:rPr>
        <w:t xml:space="preserve">, </w:t>
      </w:r>
      <w:r w:rsidRPr="00504456">
        <w:rPr>
          <w:i/>
          <w:sz w:val="24"/>
          <w:lang w:val="en-AU"/>
        </w:rPr>
        <w:t>Australia, Final Report</w:t>
      </w:r>
      <w:r w:rsidRPr="00504456">
        <w:rPr>
          <w:sz w:val="24"/>
          <w:lang w:val="en-AU"/>
        </w:rPr>
        <w:t>, September 2013.</w:t>
      </w:r>
    </w:p>
    <w:p w:rsidR="00DE437B" w:rsidRPr="00504456" w:rsidRDefault="00DE437B" w:rsidP="004106D8">
      <w:pPr>
        <w:pStyle w:val="BodyText"/>
        <w:numPr>
          <w:ilvl w:val="0"/>
          <w:numId w:val="17"/>
        </w:numPr>
        <w:rPr>
          <w:sz w:val="24"/>
          <w:lang w:val="en-AU"/>
        </w:rPr>
      </w:pPr>
      <w:r w:rsidRPr="00504456">
        <w:rPr>
          <w:sz w:val="24"/>
          <w:lang w:val="en-AU"/>
        </w:rPr>
        <w:t xml:space="preserve">Victorian Department of Justice, </w:t>
      </w:r>
      <w:r w:rsidRPr="00504456">
        <w:rPr>
          <w:i/>
          <w:sz w:val="24"/>
          <w:lang w:val="en-AU"/>
        </w:rPr>
        <w:t xml:space="preserve">The Health Promotion Resource Kit for Problem Gambling, Part 3: What are examples of </w:t>
      </w:r>
      <w:proofErr w:type="spellStart"/>
      <w:r w:rsidRPr="00504456">
        <w:rPr>
          <w:i/>
          <w:sz w:val="24"/>
          <w:lang w:val="en-AU"/>
        </w:rPr>
        <w:t>IHP</w:t>
      </w:r>
      <w:proofErr w:type="spellEnd"/>
      <w:r w:rsidRPr="00504456">
        <w:rPr>
          <w:i/>
          <w:sz w:val="24"/>
          <w:lang w:val="en-AU"/>
        </w:rPr>
        <w:t xml:space="preserve"> in problem gambling</w:t>
      </w:r>
      <w:r w:rsidRPr="00504456">
        <w:rPr>
          <w:sz w:val="24"/>
          <w:lang w:val="en-AU"/>
        </w:rPr>
        <w:t xml:space="preserve">, Melbourne, </w:t>
      </w:r>
      <w:proofErr w:type="gramStart"/>
      <w:r w:rsidRPr="00504456">
        <w:rPr>
          <w:sz w:val="24"/>
          <w:lang w:val="en-AU"/>
        </w:rPr>
        <w:t>2009.</w:t>
      </w:r>
      <w:proofErr w:type="gramEnd"/>
    </w:p>
    <w:p w:rsidR="00DE437B" w:rsidRPr="00504456" w:rsidRDefault="00DE437B" w:rsidP="004106D8">
      <w:pPr>
        <w:pStyle w:val="BodyText"/>
        <w:numPr>
          <w:ilvl w:val="0"/>
          <w:numId w:val="17"/>
        </w:numPr>
        <w:rPr>
          <w:sz w:val="24"/>
          <w:lang w:val="en-AU"/>
        </w:rPr>
      </w:pPr>
      <w:r w:rsidRPr="00504456">
        <w:rPr>
          <w:sz w:val="24"/>
          <w:lang w:val="en-AU"/>
        </w:rPr>
        <w:t>Victorian Department of Treasury and Finance, About the Community Support Fund, Melbourne, 2013.</w:t>
      </w:r>
    </w:p>
    <w:p w:rsidR="00DE437B" w:rsidRPr="00504456" w:rsidRDefault="00DE437B" w:rsidP="004106D8">
      <w:pPr>
        <w:pStyle w:val="BodyText"/>
        <w:numPr>
          <w:ilvl w:val="0"/>
          <w:numId w:val="17"/>
        </w:numPr>
        <w:rPr>
          <w:sz w:val="24"/>
          <w:lang w:val="en-AU"/>
        </w:rPr>
      </w:pPr>
      <w:r w:rsidRPr="00504456">
        <w:rPr>
          <w:sz w:val="24"/>
          <w:lang w:val="en-AU"/>
        </w:rPr>
        <w:t>Victorian Government, Gaming Machine Arrangements 2012: statement of outcomes II, Melbourne, February 2009.</w:t>
      </w:r>
    </w:p>
    <w:p w:rsidR="00DE437B" w:rsidRPr="00504456" w:rsidRDefault="00DE437B" w:rsidP="004106D8">
      <w:pPr>
        <w:pStyle w:val="BodyText"/>
        <w:numPr>
          <w:ilvl w:val="0"/>
          <w:numId w:val="17"/>
        </w:numPr>
        <w:rPr>
          <w:sz w:val="24"/>
          <w:lang w:val="en-AU"/>
        </w:rPr>
      </w:pPr>
      <w:r w:rsidRPr="00504456">
        <w:rPr>
          <w:sz w:val="24"/>
          <w:lang w:val="en-AU"/>
        </w:rPr>
        <w:t xml:space="preserve">Victorian Government, </w:t>
      </w:r>
      <w:r w:rsidRPr="00504456">
        <w:rPr>
          <w:i/>
          <w:sz w:val="24"/>
          <w:lang w:val="en-AU"/>
        </w:rPr>
        <w:t>Response to the Victorian Competition and Efficiency Commission’s Final Report</w:t>
      </w:r>
      <w:r w:rsidRPr="00504456">
        <w:rPr>
          <w:sz w:val="24"/>
          <w:lang w:val="en-AU"/>
        </w:rPr>
        <w:t>, September 2013.</w:t>
      </w:r>
    </w:p>
    <w:p w:rsidR="00DE437B" w:rsidRPr="00504456" w:rsidRDefault="00DE437B" w:rsidP="004106D8">
      <w:pPr>
        <w:pStyle w:val="BodyText"/>
        <w:numPr>
          <w:ilvl w:val="0"/>
          <w:numId w:val="17"/>
        </w:numPr>
        <w:rPr>
          <w:sz w:val="24"/>
          <w:lang w:val="en-AU"/>
        </w:rPr>
      </w:pPr>
      <w:r w:rsidRPr="00504456">
        <w:rPr>
          <w:sz w:val="24"/>
          <w:lang w:val="en-AU"/>
        </w:rPr>
        <w:t xml:space="preserve">Victorian Local Governance Association, </w:t>
      </w:r>
      <w:r w:rsidRPr="00504456">
        <w:rPr>
          <w:i/>
          <w:sz w:val="24"/>
          <w:lang w:val="en-AU"/>
        </w:rPr>
        <w:t>Pokies Assessments: a 'how to guide'</w:t>
      </w:r>
      <w:r w:rsidRPr="00504456">
        <w:rPr>
          <w:sz w:val="24"/>
          <w:lang w:val="en-AU"/>
        </w:rPr>
        <w:t>, Melbourne, 2012.</w:t>
      </w:r>
    </w:p>
    <w:p w:rsidR="00DE437B" w:rsidRPr="00504456" w:rsidRDefault="00DE437B" w:rsidP="004106D8">
      <w:pPr>
        <w:pStyle w:val="BodyText"/>
        <w:numPr>
          <w:ilvl w:val="0"/>
          <w:numId w:val="17"/>
        </w:numPr>
        <w:rPr>
          <w:sz w:val="24"/>
          <w:lang w:val="en-AU"/>
        </w:rPr>
      </w:pPr>
      <w:r w:rsidRPr="00504456">
        <w:rPr>
          <w:sz w:val="24"/>
          <w:lang w:val="en-AU"/>
        </w:rPr>
        <w:t xml:space="preserve">Victorian Responsible Gambling Foundation, </w:t>
      </w:r>
      <w:proofErr w:type="gramStart"/>
      <w:r w:rsidRPr="00504456">
        <w:rPr>
          <w:sz w:val="24"/>
          <w:lang w:val="en-AU"/>
        </w:rPr>
        <w:t>About</w:t>
      </w:r>
      <w:proofErr w:type="gramEnd"/>
      <w:r w:rsidRPr="00504456">
        <w:rPr>
          <w:sz w:val="24"/>
          <w:lang w:val="en-AU"/>
        </w:rPr>
        <w:t xml:space="preserve"> us, Melbourne 2013, viewed March 2013. &lt;www.responsiblegambling.vic.gov.au&gt;</w:t>
      </w:r>
    </w:p>
    <w:p w:rsidR="00DE437B" w:rsidRPr="00504456" w:rsidRDefault="00DE437B" w:rsidP="004106D8">
      <w:pPr>
        <w:pStyle w:val="BodyText"/>
        <w:numPr>
          <w:ilvl w:val="0"/>
          <w:numId w:val="17"/>
        </w:numPr>
        <w:rPr>
          <w:sz w:val="24"/>
          <w:lang w:val="en-AU"/>
        </w:rPr>
      </w:pPr>
      <w:r w:rsidRPr="00504456">
        <w:rPr>
          <w:sz w:val="24"/>
          <w:lang w:val="en-AU"/>
        </w:rPr>
        <w:lastRenderedPageBreak/>
        <w:t xml:space="preserve">Victorian Responsible Gambling Foundation, </w:t>
      </w:r>
      <w:r w:rsidRPr="00504456">
        <w:rPr>
          <w:i/>
          <w:sz w:val="24"/>
          <w:lang w:val="en-AU"/>
        </w:rPr>
        <w:t>What is responsible gambling</w:t>
      </w:r>
      <w:proofErr w:type="gramStart"/>
      <w:r w:rsidRPr="00504456">
        <w:rPr>
          <w:i/>
          <w:sz w:val="24"/>
          <w:lang w:val="en-AU"/>
        </w:rPr>
        <w:t>?</w:t>
      </w:r>
      <w:r w:rsidRPr="00504456">
        <w:rPr>
          <w:sz w:val="24"/>
          <w:lang w:val="en-AU"/>
        </w:rPr>
        <w:t>,</w:t>
      </w:r>
      <w:proofErr w:type="gramEnd"/>
      <w:r w:rsidRPr="00504456">
        <w:rPr>
          <w:sz w:val="24"/>
          <w:lang w:val="en-AU"/>
        </w:rPr>
        <w:t xml:space="preserve"> </w:t>
      </w:r>
      <w:proofErr w:type="spellStart"/>
      <w:r w:rsidRPr="00504456">
        <w:rPr>
          <w:sz w:val="24"/>
          <w:lang w:val="en-AU"/>
        </w:rPr>
        <w:t>VRGF</w:t>
      </w:r>
      <w:proofErr w:type="spellEnd"/>
      <w:r w:rsidRPr="00504456">
        <w:rPr>
          <w:sz w:val="24"/>
          <w:lang w:val="en-AU"/>
        </w:rPr>
        <w:t>, Melbourne 2013, viewed March 2013. &lt;</w:t>
      </w:r>
      <w:hyperlink r:id="rId14" w:history="1">
        <w:r w:rsidRPr="00504456">
          <w:rPr>
            <w:sz w:val="24"/>
            <w:lang w:val="en-AU"/>
          </w:rPr>
          <w:t>www.responsiblegambling.vic.gov.au</w:t>
        </w:r>
      </w:hyperlink>
      <w:r w:rsidRPr="00504456">
        <w:rPr>
          <w:sz w:val="24"/>
          <w:lang w:val="en-AU"/>
        </w:rPr>
        <w:t>&gt;</w:t>
      </w:r>
    </w:p>
    <w:p w:rsidR="00DE437B" w:rsidRPr="00504456" w:rsidRDefault="00DE437B" w:rsidP="00DE437B">
      <w:pPr>
        <w:pStyle w:val="BodyText"/>
        <w:ind w:left="360"/>
        <w:rPr>
          <w:sz w:val="24"/>
          <w:lang w:val="en-AU"/>
        </w:rPr>
      </w:pPr>
    </w:p>
    <w:p w:rsidR="00A14868" w:rsidRPr="00504456" w:rsidRDefault="00A14868" w:rsidP="009F4C04">
      <w:pPr>
        <w:pStyle w:val="Heading1"/>
      </w:pPr>
      <w:bookmarkStart w:id="372" w:name="_Toc372787048"/>
      <w:r w:rsidRPr="00504456">
        <w:t>A</w:t>
      </w:r>
      <w:r w:rsidR="00DF0AAB" w:rsidRPr="00504456">
        <w:t>ppendices</w:t>
      </w:r>
      <w:bookmarkEnd w:id="372"/>
    </w:p>
    <w:p w:rsidR="00CA12E1" w:rsidRPr="00504456" w:rsidRDefault="00CA12E1" w:rsidP="00CA12E1"/>
    <w:p w:rsidR="00FC338B" w:rsidRPr="00504456" w:rsidRDefault="00CA12E1" w:rsidP="0042794D">
      <w:pPr>
        <w:pStyle w:val="BodyText"/>
        <w:rPr>
          <w:sz w:val="24"/>
        </w:rPr>
      </w:pPr>
      <w:r w:rsidRPr="00504456">
        <w:rPr>
          <w:b/>
          <w:sz w:val="24"/>
        </w:rPr>
        <w:t>Appendix 1</w:t>
      </w:r>
      <w:r w:rsidRPr="00504456">
        <w:rPr>
          <w:sz w:val="24"/>
        </w:rPr>
        <w:t xml:space="preserve"> - Application processes related to new </w:t>
      </w:r>
      <w:proofErr w:type="spellStart"/>
      <w:r w:rsidRPr="00504456">
        <w:rPr>
          <w:sz w:val="24"/>
        </w:rPr>
        <w:t>EGM</w:t>
      </w:r>
      <w:proofErr w:type="spellEnd"/>
      <w:r w:rsidRPr="00504456">
        <w:rPr>
          <w:sz w:val="24"/>
        </w:rPr>
        <w:t xml:space="preserve"> venues, or increased numbers of </w:t>
      </w:r>
      <w:proofErr w:type="spellStart"/>
      <w:r w:rsidRPr="00504456">
        <w:rPr>
          <w:sz w:val="24"/>
        </w:rPr>
        <w:t>EGMs</w:t>
      </w:r>
      <w:proofErr w:type="spellEnd"/>
      <w:r w:rsidRPr="00504456">
        <w:rPr>
          <w:sz w:val="24"/>
        </w:rPr>
        <w:t xml:space="preserve"> within an existing venue</w:t>
      </w:r>
    </w:p>
    <w:p w:rsidR="00CA12E1" w:rsidRPr="00504456" w:rsidRDefault="00CA12E1" w:rsidP="0042794D">
      <w:pPr>
        <w:pStyle w:val="BodyText"/>
        <w:rPr>
          <w:sz w:val="24"/>
        </w:rPr>
      </w:pPr>
      <w:r w:rsidRPr="00504456">
        <w:rPr>
          <w:b/>
          <w:sz w:val="24"/>
        </w:rPr>
        <w:t>Appendix 2</w:t>
      </w:r>
      <w:r w:rsidRPr="00504456">
        <w:rPr>
          <w:sz w:val="24"/>
        </w:rPr>
        <w:t xml:space="preserve"> - Schedule to clause 52.28-3</w:t>
      </w:r>
    </w:p>
    <w:p w:rsidR="00CA12E1" w:rsidRPr="00504456" w:rsidRDefault="00CA12E1" w:rsidP="0042794D">
      <w:pPr>
        <w:pStyle w:val="BodyText"/>
        <w:rPr>
          <w:sz w:val="24"/>
        </w:rPr>
      </w:pPr>
      <w:r w:rsidRPr="00504456">
        <w:rPr>
          <w:b/>
          <w:sz w:val="24"/>
        </w:rPr>
        <w:t>Appendix 3</w:t>
      </w:r>
      <w:r w:rsidRPr="00504456">
        <w:rPr>
          <w:sz w:val="24"/>
        </w:rPr>
        <w:t xml:space="preserve"> - Schedule to clause 52.28-4</w:t>
      </w:r>
    </w:p>
    <w:p w:rsidR="00CA12E1" w:rsidRPr="004377E5" w:rsidRDefault="00CA12E1" w:rsidP="0042794D">
      <w:pPr>
        <w:pStyle w:val="BodyText"/>
        <w:rPr>
          <w:sz w:val="24"/>
        </w:rPr>
      </w:pPr>
      <w:r w:rsidRPr="00504456">
        <w:rPr>
          <w:b/>
          <w:sz w:val="24"/>
        </w:rPr>
        <w:t>Appendix 4</w:t>
      </w:r>
      <w:r w:rsidRPr="00504456">
        <w:rPr>
          <w:sz w:val="24"/>
        </w:rPr>
        <w:t xml:space="preserve"> - Clause 22.14 Electronic Gaming Machine Policy</w:t>
      </w:r>
    </w:p>
    <w:p w:rsidR="00CA12E1" w:rsidRPr="004377E5" w:rsidRDefault="00CA12E1" w:rsidP="0042794D">
      <w:pPr>
        <w:pStyle w:val="BodyText"/>
        <w:rPr>
          <w:sz w:val="24"/>
        </w:rPr>
      </w:pPr>
    </w:p>
    <w:sectPr w:rsidR="00CA12E1" w:rsidRPr="004377E5" w:rsidSect="004B1F9E">
      <w:headerReference w:type="default" r:id="rId15"/>
      <w:footerReference w:type="default" r:id="rId16"/>
      <w:pgSz w:w="11900" w:h="16840"/>
      <w:pgMar w:top="1814" w:right="1021" w:bottom="1304" w:left="1021"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65" w:rsidRDefault="00E43565" w:rsidP="00A14868">
      <w:r>
        <w:separator/>
      </w:r>
    </w:p>
  </w:endnote>
  <w:endnote w:type="continuationSeparator" w:id="0">
    <w:p w:rsidR="00E43565" w:rsidRDefault="00E43565" w:rsidP="00A1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4241A1" w:rsidP="00F03287">
    <w:pPr>
      <w:pStyle w:val="Footer"/>
      <w:framePr w:wrap="around" w:vAnchor="text" w:hAnchor="margin" w:xAlign="right" w:y="1"/>
      <w:rPr>
        <w:rStyle w:val="PageNumber"/>
      </w:rPr>
    </w:pPr>
    <w:r>
      <w:rPr>
        <w:rStyle w:val="PageNumber"/>
      </w:rPr>
      <w:fldChar w:fldCharType="begin"/>
    </w:r>
    <w:r w:rsidR="00E43565">
      <w:rPr>
        <w:rStyle w:val="PageNumber"/>
      </w:rPr>
      <w:instrText xml:space="preserve">PAGE  </w:instrText>
    </w:r>
    <w:r>
      <w:rPr>
        <w:rStyle w:val="PageNumber"/>
      </w:rPr>
      <w:fldChar w:fldCharType="end"/>
    </w:r>
  </w:p>
  <w:p w:rsidR="00E43565" w:rsidRDefault="00E43565" w:rsidP="00F032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5253"/>
      <w:docPartObj>
        <w:docPartGallery w:val="Page Numbers (Bottom of Page)"/>
        <w:docPartUnique/>
      </w:docPartObj>
    </w:sdtPr>
    <w:sdtEndPr/>
    <w:sdtContent>
      <w:p w:rsidR="00E43565" w:rsidRDefault="004241A1">
        <w:pPr>
          <w:pStyle w:val="Footer"/>
          <w:jc w:val="right"/>
        </w:pPr>
        <w:r>
          <w:fldChar w:fldCharType="begin"/>
        </w:r>
        <w:r w:rsidR="006E5AA3">
          <w:instrText xml:space="preserve"> PAGE   \* MERGEFORMAT </w:instrText>
        </w:r>
        <w:r>
          <w:fldChar w:fldCharType="separate"/>
        </w:r>
        <w:r w:rsidR="00A20D36">
          <w:rPr>
            <w:noProof/>
          </w:rPr>
          <w:t>1</w:t>
        </w:r>
        <w:r>
          <w:rPr>
            <w:noProof/>
          </w:rPr>
          <w:fldChar w:fldCharType="end"/>
        </w:r>
      </w:p>
    </w:sdtContent>
  </w:sdt>
  <w:p w:rsidR="00E43565" w:rsidRPr="00FC7D36" w:rsidRDefault="00E43565" w:rsidP="00F03287">
    <w:pPr>
      <w:pStyle w:val="Footer"/>
      <w:tabs>
        <w:tab w:val="clear" w:pos="4320"/>
        <w:tab w:val="clear" w:pos="8640"/>
      </w:tabs>
      <w:ind w:left="5670"/>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376"/>
      <w:docPartObj>
        <w:docPartGallery w:val="Page Numbers (Bottom of Page)"/>
        <w:docPartUnique/>
      </w:docPartObj>
    </w:sdtPr>
    <w:sdtEndPr/>
    <w:sdtContent>
      <w:p w:rsidR="00E43565" w:rsidRDefault="004241A1">
        <w:pPr>
          <w:pStyle w:val="Footer"/>
          <w:jc w:val="right"/>
        </w:pPr>
        <w:r>
          <w:fldChar w:fldCharType="begin"/>
        </w:r>
        <w:r w:rsidR="006E5AA3">
          <w:instrText xml:space="preserve"> PAGE   \* MERGEFORMAT </w:instrText>
        </w:r>
        <w:r>
          <w:fldChar w:fldCharType="separate"/>
        </w:r>
        <w:r w:rsidR="00A20D36">
          <w:rPr>
            <w:noProof/>
          </w:rPr>
          <w:t>32</w:t>
        </w:r>
        <w:r>
          <w:rPr>
            <w:noProof/>
          </w:rPr>
          <w:fldChar w:fldCharType="end"/>
        </w:r>
      </w:p>
    </w:sdtContent>
  </w:sdt>
  <w:p w:rsidR="00E43565" w:rsidRPr="00FC7D36" w:rsidRDefault="00E43565" w:rsidP="00F03287">
    <w:pPr>
      <w:pStyle w:val="Footer"/>
      <w:tabs>
        <w:tab w:val="clear" w:pos="4320"/>
        <w:tab w:val="clear" w:pos="8640"/>
      </w:tabs>
      <w:ind w:left="567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65" w:rsidRDefault="00E43565" w:rsidP="00A14868">
      <w:r>
        <w:separator/>
      </w:r>
    </w:p>
  </w:footnote>
  <w:footnote w:type="continuationSeparator" w:id="0">
    <w:p w:rsidR="00E43565" w:rsidRDefault="00E43565" w:rsidP="00A14868">
      <w:r>
        <w:continuationSeparator/>
      </w:r>
    </w:p>
  </w:footnote>
  <w:footnote w:id="1">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sidRPr="00BF74CC">
        <w:rPr>
          <w:rFonts w:ascii="Arial" w:hAnsi="Arial" w:cs="Arial"/>
          <w:lang w:val="en-AU"/>
        </w:rPr>
        <w:t>Productivity Commission, Gambling,</w:t>
      </w:r>
      <w:r w:rsidRPr="00BF74CC">
        <w:rPr>
          <w:rFonts w:ascii="Arial" w:hAnsi="Arial" w:cs="Arial"/>
          <w:i/>
          <w:lang w:val="en-AU"/>
        </w:rPr>
        <w:t xml:space="preserve"> </w:t>
      </w:r>
      <w:r w:rsidRPr="00BF74CC">
        <w:rPr>
          <w:rFonts w:ascii="Arial" w:hAnsi="Arial" w:cs="Arial"/>
          <w:lang w:val="en-AU"/>
        </w:rPr>
        <w:t>Report no.50</w:t>
      </w:r>
      <w:r w:rsidRPr="00BF74CC">
        <w:rPr>
          <w:rFonts w:ascii="Arial" w:hAnsi="Arial" w:cs="Arial"/>
          <w:i/>
          <w:lang w:val="en-AU"/>
        </w:rPr>
        <w:t xml:space="preserve">, </w:t>
      </w:r>
      <w:r w:rsidRPr="00BF74CC">
        <w:rPr>
          <w:rFonts w:ascii="Arial" w:hAnsi="Arial" w:cs="Arial"/>
          <w:lang w:val="en-AU"/>
        </w:rPr>
        <w:t>Productivity Commission, Canberra, 2010, pp. 7, 13.</w:t>
      </w:r>
      <w:proofErr w:type="gramEnd"/>
    </w:p>
  </w:footnote>
  <w:footnote w:id="2">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proofErr w:type="gramStart"/>
      <w:r>
        <w:rPr>
          <w:rFonts w:ascii="Arial" w:hAnsi="Arial" w:cs="Arial"/>
          <w:lang w:val="en-AU"/>
        </w:rPr>
        <w:t>ibid,</w:t>
      </w:r>
      <w:r w:rsidRPr="00BF74CC">
        <w:rPr>
          <w:rFonts w:ascii="Arial" w:hAnsi="Arial" w:cs="Arial"/>
          <w:lang w:val="en-AU"/>
        </w:rPr>
        <w:t xml:space="preserve"> pp.2, 13.</w:t>
      </w:r>
      <w:proofErr w:type="gramEnd"/>
    </w:p>
  </w:footnote>
  <w:footnote w:id="3">
    <w:p w:rsidR="00E43565" w:rsidRPr="00557F03" w:rsidRDefault="00E43565" w:rsidP="00A14868">
      <w:pPr>
        <w:pStyle w:val="FootnoteText"/>
        <w:rPr>
          <w:rFonts w:ascii="Arial" w:hAnsi="Arial" w:cs="Arial"/>
          <w:lang w:val="en-AU"/>
        </w:rPr>
      </w:pPr>
      <w:r w:rsidRPr="00D212BD">
        <w:rPr>
          <w:rStyle w:val="FootnoteReference"/>
        </w:rPr>
        <w:footnoteRef/>
      </w:r>
      <w:r w:rsidRPr="00D212BD">
        <w:rPr>
          <w:rStyle w:val="FootnoteReference"/>
        </w:rPr>
        <w:t xml:space="preserve"> </w:t>
      </w:r>
      <w:r w:rsidRPr="00BF74CC">
        <w:rPr>
          <w:rFonts w:ascii="Arial" w:hAnsi="Arial" w:cs="Arial"/>
          <w:lang w:val="en-AU"/>
        </w:rPr>
        <w:t>Gambling Research Australia, Problem Gambling</w:t>
      </w:r>
      <w:r w:rsidRPr="00BF74CC">
        <w:rPr>
          <w:lang w:val="en-AU"/>
        </w:rPr>
        <w:t xml:space="preserve"> </w:t>
      </w:r>
      <w:r w:rsidRPr="00BF74CC">
        <w:rPr>
          <w:rFonts w:ascii="Arial" w:hAnsi="Arial" w:cs="Arial"/>
          <w:lang w:val="en-AU"/>
        </w:rPr>
        <w:t xml:space="preserve">and Harm: Towards a National Definition, </w:t>
      </w:r>
      <w:proofErr w:type="spellStart"/>
      <w:r w:rsidRPr="00BF74CC">
        <w:rPr>
          <w:rFonts w:ascii="Arial" w:hAnsi="Arial" w:cs="Arial"/>
          <w:lang w:val="en-AU"/>
        </w:rPr>
        <w:t>GRA</w:t>
      </w:r>
      <w:proofErr w:type="spellEnd"/>
      <w:r w:rsidRPr="00BF74CC">
        <w:rPr>
          <w:rFonts w:ascii="Arial" w:hAnsi="Arial" w:cs="Arial"/>
          <w:lang w:val="en-AU"/>
        </w:rPr>
        <w:t>, Melbourne, 2005, p.1.</w:t>
      </w:r>
    </w:p>
  </w:footnote>
  <w:footnote w:id="4">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Productivity Commission, Gambling</w:t>
      </w:r>
      <w:r w:rsidRPr="00BF74CC">
        <w:rPr>
          <w:rFonts w:ascii="Arial" w:hAnsi="Arial" w:cs="Arial"/>
          <w:i/>
          <w:lang w:val="en-AU"/>
        </w:rPr>
        <w:t xml:space="preserve">, </w:t>
      </w:r>
      <w:r w:rsidRPr="00BF74CC">
        <w:rPr>
          <w:rFonts w:ascii="Arial" w:hAnsi="Arial" w:cs="Arial"/>
          <w:lang w:val="en-AU"/>
        </w:rPr>
        <w:t>Report no.50</w:t>
      </w:r>
      <w:r w:rsidRPr="00BF74CC">
        <w:rPr>
          <w:rFonts w:ascii="Arial" w:hAnsi="Arial" w:cs="Arial"/>
          <w:i/>
          <w:lang w:val="en-AU"/>
        </w:rPr>
        <w:t xml:space="preserve">, </w:t>
      </w:r>
      <w:r w:rsidRPr="00BF74CC">
        <w:rPr>
          <w:rFonts w:ascii="Arial" w:hAnsi="Arial" w:cs="Arial"/>
          <w:lang w:val="en-AU"/>
        </w:rPr>
        <w:t>Productivity Commission, Canberra, 2010, pp.13,14</w:t>
      </w:r>
    </w:p>
  </w:footnote>
  <w:footnote w:id="5">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Pr>
          <w:rFonts w:ascii="Arial" w:hAnsi="Arial" w:cs="Arial"/>
          <w:lang w:val="en-AU"/>
        </w:rPr>
        <w:t>Ibid,</w:t>
      </w:r>
      <w:r w:rsidRPr="00BF74CC">
        <w:rPr>
          <w:rFonts w:ascii="Arial" w:hAnsi="Arial" w:cs="Arial"/>
          <w:lang w:val="en-AU"/>
        </w:rPr>
        <w:t xml:space="preserve"> pp. 6.1, 48.</w:t>
      </w:r>
      <w:proofErr w:type="gramEnd"/>
    </w:p>
  </w:footnote>
  <w:footnote w:id="6">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Pr>
          <w:rFonts w:ascii="Arial" w:hAnsi="Arial" w:cs="Arial"/>
          <w:lang w:val="en-AU"/>
        </w:rPr>
        <w:t>Ibid</w:t>
      </w:r>
      <w:r w:rsidRPr="00BF74CC">
        <w:rPr>
          <w:rFonts w:ascii="Arial" w:hAnsi="Arial" w:cs="Arial"/>
          <w:lang w:val="en-AU"/>
        </w:rPr>
        <w:t>, p.48.</w:t>
      </w:r>
      <w:proofErr w:type="gramEnd"/>
    </w:p>
  </w:footnote>
  <w:footnote w:id="7">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Productivity Commission, Gambling</w:t>
      </w:r>
      <w:r w:rsidRPr="00BF74CC">
        <w:rPr>
          <w:rFonts w:ascii="Arial" w:hAnsi="Arial" w:cs="Arial"/>
          <w:i/>
          <w:lang w:val="en-AU"/>
        </w:rPr>
        <w:t xml:space="preserve">, </w:t>
      </w:r>
      <w:r w:rsidRPr="00BF74CC">
        <w:rPr>
          <w:rFonts w:ascii="Arial" w:hAnsi="Arial" w:cs="Arial"/>
          <w:lang w:val="en-AU"/>
        </w:rPr>
        <w:t>Report no.50</w:t>
      </w:r>
      <w:proofErr w:type="gramStart"/>
      <w:r w:rsidRPr="00BF74CC">
        <w:rPr>
          <w:rFonts w:ascii="Arial" w:hAnsi="Arial" w:cs="Arial"/>
          <w:lang w:val="en-AU"/>
        </w:rPr>
        <w:t>,  2010</w:t>
      </w:r>
      <w:proofErr w:type="gramEnd"/>
      <w:r w:rsidRPr="00BF74CC">
        <w:rPr>
          <w:rFonts w:ascii="Arial" w:hAnsi="Arial" w:cs="Arial"/>
          <w:lang w:val="en-AU"/>
        </w:rPr>
        <w:t>, p.54.</w:t>
      </w:r>
    </w:p>
  </w:footnote>
  <w:footnote w:id="8">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Pr>
          <w:rFonts w:ascii="Arial" w:hAnsi="Arial" w:cs="Arial"/>
          <w:lang w:val="en-AU"/>
        </w:rPr>
        <w:t>ibid</w:t>
      </w:r>
      <w:r w:rsidRPr="00BF74CC">
        <w:rPr>
          <w:rFonts w:ascii="Arial" w:hAnsi="Arial" w:cs="Arial"/>
          <w:lang w:val="en-AU"/>
        </w:rPr>
        <w:t>, p.56.</w:t>
      </w:r>
      <w:proofErr w:type="gramEnd"/>
    </w:p>
  </w:footnote>
  <w:footnote w:id="9">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Pr>
          <w:rFonts w:ascii="Arial" w:hAnsi="Arial" w:cs="Arial"/>
          <w:lang w:val="en-AU"/>
        </w:rPr>
        <w:t>ibid</w:t>
      </w:r>
      <w:r w:rsidRPr="00BF74CC">
        <w:rPr>
          <w:rFonts w:ascii="Arial" w:hAnsi="Arial" w:cs="Arial"/>
          <w:lang w:val="en-AU"/>
        </w:rPr>
        <w:t>, p.59.</w:t>
      </w:r>
      <w:proofErr w:type="gramEnd"/>
    </w:p>
  </w:footnote>
  <w:footnote w:id="10">
    <w:p w:rsidR="00E43565" w:rsidRPr="00D56C9A" w:rsidRDefault="00E43565">
      <w:pPr>
        <w:pStyle w:val="FootnoteText"/>
        <w:rPr>
          <w:lang w:val="en-AU"/>
        </w:rPr>
      </w:pPr>
      <w:r>
        <w:rPr>
          <w:rStyle w:val="FootnoteReference"/>
        </w:rPr>
        <w:footnoteRef/>
      </w:r>
      <w:r>
        <w:t xml:space="preserve"> </w:t>
      </w:r>
      <w:r w:rsidRPr="00D212BD">
        <w:rPr>
          <w:rFonts w:ascii="Arial" w:hAnsi="Arial" w:cs="Arial"/>
          <w:lang w:val="en-AU"/>
        </w:rPr>
        <w:t>Victorian Competition and Efficiency Commission, Counting the Cost: Inquiry into the Costs of Problem Gambling</w:t>
      </w:r>
      <w:r>
        <w:rPr>
          <w:rFonts w:ascii="Arial" w:hAnsi="Arial" w:cs="Arial"/>
          <w:lang w:val="en-AU"/>
        </w:rPr>
        <w:t xml:space="preserve">, final report, December 2012, </w:t>
      </w:r>
      <w:proofErr w:type="spellStart"/>
      <w:r>
        <w:rPr>
          <w:rFonts w:ascii="Arial" w:hAnsi="Arial" w:cs="Arial"/>
          <w:lang w:val="en-AU"/>
        </w:rPr>
        <w:t>p.vii</w:t>
      </w:r>
      <w:proofErr w:type="spellEnd"/>
      <w:r>
        <w:rPr>
          <w:rFonts w:ascii="Arial" w:hAnsi="Arial" w:cs="Arial"/>
          <w:lang w:val="en-AU"/>
        </w:rPr>
        <w:t>.</w:t>
      </w:r>
    </w:p>
  </w:footnote>
  <w:footnote w:id="11">
    <w:p w:rsidR="00E43565" w:rsidRPr="00D212BD" w:rsidRDefault="00E43565">
      <w:pPr>
        <w:pStyle w:val="FootnoteText"/>
        <w:rPr>
          <w:lang w:val="en-AU"/>
        </w:rPr>
      </w:pPr>
      <w:r>
        <w:rPr>
          <w:rStyle w:val="FootnoteReference"/>
        </w:rPr>
        <w:footnoteRef/>
      </w:r>
      <w:r>
        <w:t xml:space="preserve"> </w:t>
      </w:r>
      <w:proofErr w:type="gramStart"/>
      <w:r w:rsidRPr="008B6A61">
        <w:rPr>
          <w:rFonts w:ascii="Arial" w:hAnsi="Arial" w:cs="Arial"/>
          <w:lang w:val="en-AU"/>
        </w:rPr>
        <w:t>Ibid, p.3.</w:t>
      </w:r>
      <w:proofErr w:type="gramEnd"/>
    </w:p>
  </w:footnote>
  <w:footnote w:id="12">
    <w:p w:rsidR="00E43565" w:rsidRPr="00D212BD" w:rsidRDefault="00E43565">
      <w:pPr>
        <w:pStyle w:val="FootnoteText"/>
        <w:rPr>
          <w:lang w:val="en-AU"/>
        </w:rPr>
      </w:pPr>
      <w:r>
        <w:rPr>
          <w:rStyle w:val="FootnoteReference"/>
        </w:rPr>
        <w:footnoteRef/>
      </w:r>
      <w:r>
        <w:t xml:space="preserve"> </w:t>
      </w:r>
      <w:proofErr w:type="gramStart"/>
      <w:r w:rsidRPr="00EF02FB">
        <w:rPr>
          <w:rFonts w:ascii="Arial" w:hAnsi="Arial" w:cs="Arial"/>
          <w:lang w:val="en-AU"/>
        </w:rPr>
        <w:t>Ibid, p. 3.</w:t>
      </w:r>
      <w:proofErr w:type="gramEnd"/>
      <w:r>
        <w:t xml:space="preserve"> </w:t>
      </w:r>
    </w:p>
  </w:footnote>
  <w:footnote w:id="13">
    <w:p w:rsidR="00E43565" w:rsidRPr="0042238E" w:rsidRDefault="00E43565">
      <w:pPr>
        <w:pStyle w:val="FootnoteText"/>
        <w:rPr>
          <w:lang w:val="en-AU"/>
        </w:rPr>
      </w:pPr>
      <w:r>
        <w:rPr>
          <w:rStyle w:val="FootnoteReference"/>
        </w:rPr>
        <w:footnoteRef/>
      </w:r>
      <w:r>
        <w:t xml:space="preserve"> </w:t>
      </w:r>
      <w:proofErr w:type="gramStart"/>
      <w:r w:rsidRPr="00EF02FB">
        <w:rPr>
          <w:rFonts w:ascii="Arial" w:hAnsi="Arial" w:cs="Arial"/>
          <w:lang w:val="en-AU"/>
        </w:rPr>
        <w:t>Ibid, p. 11.</w:t>
      </w:r>
      <w:proofErr w:type="gramEnd"/>
    </w:p>
  </w:footnote>
  <w:footnote w:id="14">
    <w:p w:rsidR="00E43565" w:rsidRPr="00EF02FB" w:rsidRDefault="00E43565">
      <w:pPr>
        <w:pStyle w:val="FootnoteText"/>
        <w:rPr>
          <w:rFonts w:ascii="Arial" w:hAnsi="Arial" w:cs="Arial"/>
          <w:lang w:val="en-AU"/>
        </w:rPr>
      </w:pPr>
      <w:r>
        <w:rPr>
          <w:rStyle w:val="FootnoteReference"/>
        </w:rPr>
        <w:footnoteRef/>
      </w:r>
      <w:r>
        <w:t xml:space="preserve"> </w:t>
      </w:r>
      <w:proofErr w:type="gramStart"/>
      <w:r w:rsidRPr="00EF02FB">
        <w:rPr>
          <w:rFonts w:ascii="Arial" w:hAnsi="Arial" w:cs="Arial"/>
          <w:lang w:val="en-AU"/>
        </w:rPr>
        <w:t>Ibid, p. 8.</w:t>
      </w:r>
      <w:proofErr w:type="gramEnd"/>
      <w:r w:rsidRPr="00EF02FB">
        <w:rPr>
          <w:rFonts w:ascii="Arial" w:hAnsi="Arial" w:cs="Arial"/>
          <w:lang w:val="en-AU"/>
        </w:rPr>
        <w:t xml:space="preserve"> </w:t>
      </w:r>
    </w:p>
  </w:footnote>
  <w:footnote w:id="15">
    <w:p w:rsidR="00E43565" w:rsidRPr="00EF02FB" w:rsidRDefault="00E43565">
      <w:pPr>
        <w:pStyle w:val="FootnoteText"/>
        <w:rPr>
          <w:rFonts w:ascii="Arial" w:hAnsi="Arial" w:cs="Arial"/>
          <w:lang w:val="en-AU"/>
        </w:rPr>
      </w:pPr>
      <w:r>
        <w:rPr>
          <w:rStyle w:val="FootnoteReference"/>
        </w:rPr>
        <w:footnoteRef/>
      </w:r>
      <w:r>
        <w:t xml:space="preserve"> </w:t>
      </w:r>
      <w:proofErr w:type="gramStart"/>
      <w:r w:rsidRPr="00EF02FB">
        <w:rPr>
          <w:rFonts w:ascii="Arial" w:hAnsi="Arial" w:cs="Arial"/>
          <w:lang w:val="en-AU"/>
        </w:rPr>
        <w:t>Ibid, p. 9.</w:t>
      </w:r>
      <w:proofErr w:type="gramEnd"/>
      <w:r w:rsidRPr="00EF02FB">
        <w:rPr>
          <w:rFonts w:ascii="Arial" w:hAnsi="Arial" w:cs="Arial"/>
          <w:lang w:val="en-AU"/>
        </w:rPr>
        <w:t xml:space="preserve"> </w:t>
      </w:r>
    </w:p>
  </w:footnote>
  <w:footnote w:id="16">
    <w:p w:rsidR="00E43565" w:rsidRPr="00EF02FB" w:rsidRDefault="00E43565" w:rsidP="00DC3D02">
      <w:pPr>
        <w:pStyle w:val="FootnoteText"/>
        <w:rPr>
          <w:rFonts w:ascii="Arial" w:hAnsi="Arial" w:cs="Arial"/>
          <w:lang w:val="en-AU"/>
        </w:rPr>
      </w:pPr>
      <w:r>
        <w:rPr>
          <w:rStyle w:val="FootnoteReference"/>
        </w:rPr>
        <w:footnoteRef/>
      </w:r>
      <w:r>
        <w:t xml:space="preserve"> </w:t>
      </w:r>
      <w:proofErr w:type="gramStart"/>
      <w:r w:rsidRPr="00EF02FB">
        <w:rPr>
          <w:rFonts w:ascii="Arial" w:hAnsi="Arial" w:cs="Arial"/>
          <w:lang w:val="en-AU"/>
        </w:rPr>
        <w:t>Ibid, p. xvii.</w:t>
      </w:r>
      <w:proofErr w:type="gramEnd"/>
    </w:p>
  </w:footnote>
  <w:footnote w:id="17">
    <w:p w:rsidR="00E43565" w:rsidRPr="003F6C56" w:rsidRDefault="00E43565">
      <w:pPr>
        <w:pStyle w:val="FootnoteText"/>
        <w:rPr>
          <w:lang w:val="en-AU"/>
        </w:rPr>
      </w:pPr>
      <w:r>
        <w:rPr>
          <w:rStyle w:val="FootnoteReference"/>
        </w:rPr>
        <w:footnoteRef/>
      </w:r>
      <w:r>
        <w:t xml:space="preserve"> </w:t>
      </w:r>
      <w:proofErr w:type="gramStart"/>
      <w:r w:rsidRPr="008B6A61">
        <w:rPr>
          <w:rFonts w:ascii="Arial" w:hAnsi="Arial" w:cs="Arial"/>
          <w:lang w:val="en-AU"/>
        </w:rPr>
        <w:t>Ibid, p. 51.</w:t>
      </w:r>
      <w:proofErr w:type="gramEnd"/>
    </w:p>
  </w:footnote>
  <w:footnote w:id="18">
    <w:p w:rsidR="00E43565" w:rsidRPr="00EF02FB" w:rsidRDefault="00E43565">
      <w:pPr>
        <w:pStyle w:val="FootnoteText"/>
        <w:rPr>
          <w:rFonts w:ascii="Arial" w:hAnsi="Arial" w:cs="Arial"/>
          <w:lang w:val="en-AU"/>
        </w:rPr>
      </w:pPr>
      <w:r>
        <w:rPr>
          <w:rStyle w:val="FootnoteReference"/>
        </w:rPr>
        <w:footnoteRef/>
      </w:r>
      <w:r>
        <w:t xml:space="preserve"> </w:t>
      </w:r>
      <w:proofErr w:type="gramStart"/>
      <w:r w:rsidRPr="00EF02FB">
        <w:rPr>
          <w:rFonts w:ascii="Arial" w:hAnsi="Arial" w:cs="Arial"/>
          <w:lang w:val="en-AU"/>
        </w:rPr>
        <w:t>Ibid, p. 11.</w:t>
      </w:r>
      <w:proofErr w:type="gramEnd"/>
    </w:p>
  </w:footnote>
  <w:footnote w:id="19">
    <w:p w:rsidR="00E43565" w:rsidRPr="00EF02FB" w:rsidRDefault="00E43565">
      <w:pPr>
        <w:pStyle w:val="FootnoteText"/>
        <w:rPr>
          <w:rFonts w:ascii="Arial" w:hAnsi="Arial" w:cs="Arial"/>
          <w:lang w:val="en-AU"/>
        </w:rPr>
      </w:pPr>
      <w:r>
        <w:rPr>
          <w:rStyle w:val="FootnoteReference"/>
        </w:rPr>
        <w:footnoteRef/>
      </w:r>
      <w:r>
        <w:t xml:space="preserve"> </w:t>
      </w:r>
      <w:proofErr w:type="gramStart"/>
      <w:r w:rsidRPr="00EF02FB">
        <w:rPr>
          <w:rFonts w:ascii="Arial" w:hAnsi="Arial" w:cs="Arial"/>
          <w:lang w:val="en-AU"/>
        </w:rPr>
        <w:t>Ibid, p.57.</w:t>
      </w:r>
      <w:proofErr w:type="gramEnd"/>
    </w:p>
  </w:footnote>
  <w:footnote w:id="20">
    <w:p w:rsidR="00E43565" w:rsidRPr="00EF02FB" w:rsidRDefault="00E43565">
      <w:pPr>
        <w:pStyle w:val="FootnoteText"/>
        <w:rPr>
          <w:lang w:val="en-AU"/>
        </w:rPr>
      </w:pPr>
      <w:r>
        <w:rPr>
          <w:rStyle w:val="FootnoteReference"/>
        </w:rPr>
        <w:footnoteRef/>
      </w:r>
      <w:r>
        <w:t xml:space="preserve"> </w:t>
      </w:r>
      <w:proofErr w:type="gramStart"/>
      <w:r w:rsidRPr="00EF02FB">
        <w:rPr>
          <w:rFonts w:ascii="Arial" w:hAnsi="Arial" w:cs="Arial"/>
          <w:lang w:val="en-AU"/>
        </w:rPr>
        <w:t>Ibid, p.58.</w:t>
      </w:r>
      <w:proofErr w:type="gramEnd"/>
    </w:p>
  </w:footnote>
  <w:footnote w:id="21">
    <w:p w:rsidR="00E43565" w:rsidRPr="00D212BD" w:rsidRDefault="00E43565" w:rsidP="00756A70">
      <w:pPr>
        <w:pStyle w:val="FootnoteText"/>
        <w:rPr>
          <w:lang w:val="en-AU"/>
        </w:rPr>
      </w:pPr>
      <w:r>
        <w:rPr>
          <w:rStyle w:val="FootnoteReference"/>
        </w:rPr>
        <w:footnoteRef/>
      </w:r>
      <w:r>
        <w:t xml:space="preserve"> </w:t>
      </w:r>
      <w:r w:rsidRPr="00D212BD">
        <w:rPr>
          <w:rFonts w:ascii="Arial" w:hAnsi="Arial" w:cs="Arial"/>
          <w:lang w:val="en-AU"/>
        </w:rPr>
        <w:t>Victorian Government, response to the Victorian Competition and Efficiency Commission’s Final Report, September 2013</w:t>
      </w:r>
      <w:r>
        <w:rPr>
          <w:rFonts w:ascii="Arial" w:hAnsi="Arial" w:cs="Arial"/>
          <w:lang w:val="en-AU"/>
        </w:rPr>
        <w:t>.</w:t>
      </w:r>
    </w:p>
  </w:footnote>
  <w:footnote w:id="22">
    <w:p w:rsidR="00E43565" w:rsidRPr="00C82B86" w:rsidRDefault="00E43565">
      <w:pPr>
        <w:pStyle w:val="FootnoteText"/>
        <w:rPr>
          <w:lang w:val="en-AU"/>
        </w:rPr>
      </w:pPr>
      <w:r>
        <w:rPr>
          <w:rStyle w:val="FootnoteReference"/>
        </w:rPr>
        <w:footnoteRef/>
      </w:r>
      <w:r>
        <w:t xml:space="preserve"> </w:t>
      </w:r>
      <w:r w:rsidRPr="008B6A61">
        <w:rPr>
          <w:rFonts w:ascii="Arial" w:hAnsi="Arial" w:cs="Arial"/>
          <w:lang w:val="en-AU"/>
        </w:rPr>
        <w:t>Victorian Department of Justice, Evaluation of the removal of ATMs from gaming venues in Victoria, Australia, Final Report, September 2013</w:t>
      </w:r>
      <w:r>
        <w:rPr>
          <w:rFonts w:ascii="Arial" w:hAnsi="Arial" w:cs="Arial"/>
          <w:lang w:val="en-AU"/>
        </w:rPr>
        <w:t>.</w:t>
      </w:r>
    </w:p>
  </w:footnote>
  <w:footnote w:id="23">
    <w:p w:rsidR="00E43565" w:rsidRPr="00C82B86" w:rsidRDefault="00E43565" w:rsidP="008457B3">
      <w:pPr>
        <w:pStyle w:val="FootnoteText"/>
        <w:rPr>
          <w:lang w:val="en-AU"/>
        </w:rPr>
      </w:pPr>
      <w:r>
        <w:rPr>
          <w:rStyle w:val="FootnoteReference"/>
        </w:rPr>
        <w:footnoteRef/>
      </w:r>
      <w:r>
        <w:t xml:space="preserve"> </w:t>
      </w:r>
      <w:r w:rsidRPr="00D212BD">
        <w:rPr>
          <w:rFonts w:ascii="Arial" w:hAnsi="Arial" w:cs="Arial"/>
          <w:lang w:val="en-AU"/>
        </w:rPr>
        <w:t>Victorian Government, response to the Victorian Competition and Efficiency Commission’s Final Report, September 2013</w:t>
      </w:r>
      <w:r>
        <w:rPr>
          <w:rFonts w:ascii="Arial" w:hAnsi="Arial" w:cs="Arial"/>
          <w:lang w:val="en-AU"/>
        </w:rPr>
        <w:t>.</w:t>
      </w:r>
    </w:p>
  </w:footnote>
  <w:footnote w:id="24">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Local Governance Associations, Pokies Assessments: a how-to-guide, </w:t>
      </w:r>
      <w:proofErr w:type="spellStart"/>
      <w:r w:rsidRPr="00BF74CC">
        <w:rPr>
          <w:rFonts w:ascii="Arial" w:hAnsi="Arial" w:cs="Arial"/>
          <w:lang w:val="en-AU"/>
        </w:rPr>
        <w:t>VLGA</w:t>
      </w:r>
      <w:proofErr w:type="spellEnd"/>
      <w:r w:rsidRPr="00BF74CC">
        <w:rPr>
          <w:rFonts w:ascii="Arial" w:hAnsi="Arial" w:cs="Arial"/>
          <w:lang w:val="en-AU"/>
        </w:rPr>
        <w:t>, Melbourne, 2012, p.9.</w:t>
      </w:r>
    </w:p>
  </w:footnote>
  <w:footnote w:id="25">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Pr>
          <w:rFonts w:ascii="Arial" w:hAnsi="Arial" w:cs="Arial"/>
          <w:lang w:val="en-AU"/>
        </w:rPr>
        <w:t>ibid</w:t>
      </w:r>
      <w:r w:rsidRPr="00BF74CC">
        <w:rPr>
          <w:rFonts w:ascii="Arial" w:hAnsi="Arial" w:cs="Arial"/>
          <w:lang w:val="en-AU"/>
        </w:rPr>
        <w:t>, p.14.</w:t>
      </w:r>
      <w:proofErr w:type="gramEnd"/>
    </w:p>
  </w:footnote>
  <w:footnote w:id="26">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Government, Gaming Machine Arrangements 2012: statement of outcomes II, Victorian Government, Melbourne, February 2009, pp.7, 27; </w:t>
      </w:r>
      <w:r w:rsidRPr="00BF74CC">
        <w:rPr>
          <w:rFonts w:ascii="Arial" w:hAnsi="Arial" w:cs="Arial"/>
          <w:i/>
          <w:lang w:val="en-AU"/>
        </w:rPr>
        <w:t>The Age</w:t>
      </w:r>
      <w:r w:rsidRPr="00BF74CC">
        <w:rPr>
          <w:rFonts w:ascii="Arial" w:hAnsi="Arial" w:cs="Arial"/>
          <w:lang w:val="en-AU"/>
        </w:rPr>
        <w:t>, '</w:t>
      </w:r>
      <w:proofErr w:type="spellStart"/>
      <w:r w:rsidRPr="00BF74CC">
        <w:rPr>
          <w:rFonts w:ascii="Arial" w:hAnsi="Arial" w:cs="Arial"/>
          <w:lang w:val="en-AU"/>
        </w:rPr>
        <w:t>Baillieu</w:t>
      </w:r>
      <w:proofErr w:type="spellEnd"/>
      <w:r w:rsidRPr="00BF74CC">
        <w:rPr>
          <w:rFonts w:ascii="Arial" w:hAnsi="Arial" w:cs="Arial"/>
          <w:lang w:val="en-AU"/>
        </w:rPr>
        <w:t xml:space="preserve"> breaks pokies vow', Melbourne, 5 February 2012.</w:t>
      </w:r>
    </w:p>
  </w:footnote>
  <w:footnote w:id="27">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Commission for Gambling and Liquor Regulation, Statistics: totals for Local Government Areas, </w:t>
      </w:r>
      <w:proofErr w:type="spellStart"/>
      <w:r w:rsidRPr="00BF74CC">
        <w:rPr>
          <w:rFonts w:ascii="Arial" w:hAnsi="Arial" w:cs="Arial"/>
          <w:lang w:val="en-AU"/>
        </w:rPr>
        <w:t>VCGLR</w:t>
      </w:r>
      <w:proofErr w:type="spellEnd"/>
      <w:r w:rsidRPr="00BF74CC">
        <w:rPr>
          <w:rFonts w:ascii="Arial" w:hAnsi="Arial" w:cs="Arial"/>
          <w:lang w:val="en-AU"/>
        </w:rPr>
        <w:t xml:space="preserve">, Melbourne, 2012, viewed March 2013, </w:t>
      </w:r>
      <w:r w:rsidRPr="00BF74CC">
        <w:rPr>
          <w:rFonts w:ascii="Arial" w:hAnsi="Arial" w:cs="Arial"/>
        </w:rPr>
        <w:t>&lt;http:www.vcglr.vic.gov.au&gt;</w:t>
      </w:r>
    </w:p>
  </w:footnote>
  <w:footnote w:id="28">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Commission for Gambling and Liquor Regulation, Monthly </w:t>
      </w:r>
      <w:proofErr w:type="spellStart"/>
      <w:r w:rsidRPr="00BF74CC">
        <w:rPr>
          <w:rFonts w:ascii="Arial" w:hAnsi="Arial" w:cs="Arial"/>
          <w:lang w:val="en-AU"/>
        </w:rPr>
        <w:t>EGM</w:t>
      </w:r>
      <w:proofErr w:type="spellEnd"/>
      <w:r w:rsidRPr="00BF74CC">
        <w:rPr>
          <w:rFonts w:ascii="Arial" w:hAnsi="Arial" w:cs="Arial"/>
          <w:lang w:val="en-AU"/>
        </w:rPr>
        <w:t xml:space="preserve"> Statistics, </w:t>
      </w:r>
      <w:proofErr w:type="spellStart"/>
      <w:r w:rsidRPr="00BF74CC">
        <w:rPr>
          <w:rFonts w:ascii="Arial" w:hAnsi="Arial" w:cs="Arial"/>
          <w:lang w:val="en-AU"/>
        </w:rPr>
        <w:t>VCGLR</w:t>
      </w:r>
      <w:proofErr w:type="spellEnd"/>
      <w:r w:rsidRPr="00BF74CC">
        <w:rPr>
          <w:rFonts w:ascii="Arial" w:hAnsi="Arial" w:cs="Arial"/>
          <w:lang w:val="en-AU"/>
        </w:rPr>
        <w:t xml:space="preserve">, Melbourne, 2013, viewed March 2013, </w:t>
      </w:r>
      <w:r w:rsidRPr="00BF74CC">
        <w:rPr>
          <w:rFonts w:ascii="Arial" w:hAnsi="Arial" w:cs="Arial"/>
        </w:rPr>
        <w:t>&lt;http:www.vcglr.vic.gov.au&gt;</w:t>
      </w:r>
    </w:p>
  </w:footnote>
  <w:footnote w:id="29">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Commission for Gambling and Liquor Regulation, Monthly </w:t>
      </w:r>
      <w:proofErr w:type="spellStart"/>
      <w:r w:rsidRPr="00BF74CC">
        <w:rPr>
          <w:rFonts w:ascii="Arial" w:hAnsi="Arial" w:cs="Arial"/>
          <w:lang w:val="en-AU"/>
        </w:rPr>
        <w:t>EGM</w:t>
      </w:r>
      <w:proofErr w:type="spellEnd"/>
      <w:r w:rsidRPr="00BF74CC">
        <w:rPr>
          <w:rFonts w:ascii="Arial" w:hAnsi="Arial" w:cs="Arial"/>
          <w:lang w:val="en-AU"/>
        </w:rPr>
        <w:t xml:space="preserve"> Statistics, </w:t>
      </w:r>
      <w:proofErr w:type="spellStart"/>
      <w:r w:rsidRPr="00BF74CC">
        <w:rPr>
          <w:rFonts w:ascii="Arial" w:hAnsi="Arial" w:cs="Arial"/>
          <w:lang w:val="en-AU"/>
        </w:rPr>
        <w:t>VCGLR</w:t>
      </w:r>
      <w:proofErr w:type="spellEnd"/>
      <w:r w:rsidRPr="00BF74CC">
        <w:rPr>
          <w:rFonts w:ascii="Arial" w:hAnsi="Arial" w:cs="Arial"/>
          <w:lang w:val="en-AU"/>
        </w:rPr>
        <w:t xml:space="preserve">, Melbourne, 2013, viewed March 2013, </w:t>
      </w:r>
      <w:r w:rsidRPr="00BF74CC">
        <w:rPr>
          <w:rFonts w:ascii="Arial" w:hAnsi="Arial" w:cs="Arial"/>
        </w:rPr>
        <w:t>&lt;http:www.vcglr.vic.gov.au&gt;</w:t>
      </w:r>
    </w:p>
  </w:footnote>
  <w:footnote w:id="30">
    <w:p w:rsidR="00E43565" w:rsidRPr="00F0328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sidRPr="00BF74CC">
        <w:rPr>
          <w:rFonts w:ascii="Arial" w:hAnsi="Arial" w:cs="Arial"/>
          <w:lang w:val="en-AU"/>
        </w:rPr>
        <w:t>City of Boroondara, Community Assets and Wellbeing Survey,</w:t>
      </w:r>
      <w:r>
        <w:rPr>
          <w:rFonts w:ascii="Arial" w:hAnsi="Arial" w:cs="Arial"/>
          <w:lang w:val="en-AU"/>
        </w:rPr>
        <w:t xml:space="preserve"> </w:t>
      </w:r>
      <w:r w:rsidRPr="00BF74CC">
        <w:rPr>
          <w:rFonts w:ascii="Arial" w:hAnsi="Arial" w:cs="Arial"/>
          <w:lang w:val="en-AU"/>
        </w:rPr>
        <w:t>C</w:t>
      </w:r>
      <w:r>
        <w:rPr>
          <w:rFonts w:ascii="Arial" w:hAnsi="Arial" w:cs="Arial"/>
          <w:lang w:val="en-AU"/>
        </w:rPr>
        <w:t xml:space="preserve">ity </w:t>
      </w:r>
      <w:r w:rsidRPr="00BF74CC">
        <w:rPr>
          <w:rFonts w:ascii="Arial" w:hAnsi="Arial" w:cs="Arial"/>
          <w:lang w:val="en-AU"/>
        </w:rPr>
        <w:t>o</w:t>
      </w:r>
      <w:r>
        <w:rPr>
          <w:rFonts w:ascii="Arial" w:hAnsi="Arial" w:cs="Arial"/>
          <w:lang w:val="en-AU"/>
        </w:rPr>
        <w:t xml:space="preserve">f </w:t>
      </w:r>
      <w:r w:rsidRPr="00BF74CC">
        <w:rPr>
          <w:rFonts w:ascii="Arial" w:hAnsi="Arial" w:cs="Arial"/>
          <w:lang w:val="en-AU"/>
        </w:rPr>
        <w:t>B</w:t>
      </w:r>
      <w:r>
        <w:rPr>
          <w:rFonts w:ascii="Arial" w:hAnsi="Arial" w:cs="Arial"/>
          <w:lang w:val="en-AU"/>
        </w:rPr>
        <w:t>oroondara</w:t>
      </w:r>
      <w:r w:rsidRPr="00BF74CC">
        <w:rPr>
          <w:rFonts w:ascii="Arial" w:hAnsi="Arial" w:cs="Arial"/>
          <w:lang w:val="en-AU"/>
        </w:rPr>
        <w:t>, Melbourne, 2008, p.8.</w:t>
      </w:r>
      <w:proofErr w:type="gramEnd"/>
    </w:p>
  </w:footnote>
  <w:footnote w:id="31">
    <w:p w:rsidR="00E43565" w:rsidRPr="005F31D5"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Victorian Local Governance Associations, Pokies Assessments: a how-to-guide, p.5.</w:t>
      </w:r>
    </w:p>
  </w:footnote>
  <w:footnote w:id="32">
    <w:p w:rsidR="00E43565" w:rsidRPr="005F31D5"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276AC7">
        <w:rPr>
          <w:rFonts w:ascii="Arial" w:hAnsi="Arial" w:cs="Arial"/>
          <w:lang w:val="en-AU"/>
        </w:rPr>
        <w:t xml:space="preserve"> </w:t>
      </w:r>
      <w:r w:rsidRPr="00D26566">
        <w:rPr>
          <w:rFonts w:ascii="Arial" w:hAnsi="Arial" w:cs="Arial"/>
          <w:lang w:val="en-AU"/>
        </w:rPr>
        <w:t>Victorian Local Governance Associations, Pokies Assessments: a how-to-guide, p.5.</w:t>
      </w:r>
    </w:p>
  </w:footnote>
  <w:footnote w:id="33">
    <w:p w:rsidR="00E43565" w:rsidRPr="005F31D5" w:rsidRDefault="00E43565" w:rsidP="00EA5FBA">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Australian Government, Problem gambling: For industry - gambling reform, Australian Government, Canberra, 2013, viewed March 2013 &lt;</w:t>
      </w:r>
      <w:r w:rsidRPr="00BF74CC">
        <w:rPr>
          <w:rFonts w:ascii="Arial" w:hAnsi="Arial" w:cs="Arial"/>
        </w:rPr>
        <w:t xml:space="preserve"> </w:t>
      </w:r>
      <w:r w:rsidRPr="00BF74CC">
        <w:rPr>
          <w:rFonts w:ascii="Arial" w:hAnsi="Arial" w:cs="Arial"/>
          <w:lang w:val="en-AU"/>
        </w:rPr>
        <w:t>http://www.problemgambling.gov.au/gambling-reforms-what-does-this-mean-for-industry/&gt;</w:t>
      </w:r>
    </w:p>
  </w:footnote>
  <w:footnote w:id="34">
    <w:p w:rsidR="00E43565" w:rsidRPr="00A241A6" w:rsidRDefault="00E43565">
      <w:pPr>
        <w:pStyle w:val="FootnoteText"/>
        <w:rPr>
          <w:lang w:val="en-AU"/>
        </w:rPr>
      </w:pPr>
      <w:r>
        <w:rPr>
          <w:rStyle w:val="FootnoteReference"/>
        </w:rPr>
        <w:footnoteRef/>
      </w:r>
      <w:r>
        <w:t xml:space="preserve"> </w:t>
      </w:r>
      <w:r>
        <w:rPr>
          <w:lang w:val="en-AU"/>
        </w:rPr>
        <w:t xml:space="preserve"> </w:t>
      </w:r>
      <w:r>
        <w:rPr>
          <w:rFonts w:ascii="Arial" w:hAnsi="Arial" w:cs="Arial"/>
          <w:lang w:val="en-AU"/>
        </w:rPr>
        <w:t xml:space="preserve">Liberal Party of Australia, </w:t>
      </w:r>
      <w:proofErr w:type="gramStart"/>
      <w:r w:rsidRPr="00A241A6">
        <w:rPr>
          <w:rFonts w:ascii="Arial" w:hAnsi="Arial" w:cs="Arial"/>
          <w:lang w:val="en-AU"/>
        </w:rPr>
        <w:t>The</w:t>
      </w:r>
      <w:proofErr w:type="gramEnd"/>
      <w:r w:rsidRPr="00A241A6">
        <w:rPr>
          <w:rFonts w:ascii="Arial" w:hAnsi="Arial" w:cs="Arial"/>
          <w:lang w:val="en-AU"/>
        </w:rPr>
        <w:t xml:space="preserve"> Coalition's Policy to Help Problem Gamblers, August 2013</w:t>
      </w:r>
      <w:r>
        <w:rPr>
          <w:rFonts w:ascii="Arial" w:hAnsi="Arial" w:cs="Arial"/>
          <w:lang w:val="en-AU"/>
        </w:rPr>
        <w:t>.</w:t>
      </w:r>
    </w:p>
  </w:footnote>
  <w:footnote w:id="35">
    <w:p w:rsidR="00E43565" w:rsidRPr="005F31D5"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Commission for Gambling and Liquor Regulation, Community benefit statements, </w:t>
      </w:r>
      <w:proofErr w:type="spellStart"/>
      <w:r w:rsidRPr="00BF74CC">
        <w:rPr>
          <w:rFonts w:ascii="Arial" w:hAnsi="Arial" w:cs="Arial"/>
          <w:lang w:val="en-AU"/>
        </w:rPr>
        <w:t>VCGLR</w:t>
      </w:r>
      <w:proofErr w:type="spellEnd"/>
      <w:r w:rsidRPr="00BF74CC">
        <w:rPr>
          <w:rFonts w:ascii="Arial" w:hAnsi="Arial" w:cs="Arial"/>
          <w:lang w:val="en-AU"/>
        </w:rPr>
        <w:t>, Melbourne, 2013, viewed March 2013, &lt;www.vcglr.vic.gov.au&gt;</w:t>
      </w:r>
    </w:p>
  </w:footnote>
  <w:footnote w:id="36">
    <w:p w:rsidR="00E43565" w:rsidRPr="005F31D5"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sidRPr="00BF74CC">
        <w:rPr>
          <w:rFonts w:ascii="Arial" w:hAnsi="Arial" w:cs="Arial"/>
          <w:lang w:val="en-AU"/>
        </w:rPr>
        <w:t>Department of Treasury and Finance</w:t>
      </w:r>
      <w:r>
        <w:rPr>
          <w:rFonts w:ascii="Arial" w:hAnsi="Arial" w:cs="Arial"/>
          <w:lang w:val="en-AU"/>
        </w:rPr>
        <w:t>,</w:t>
      </w:r>
      <w:r w:rsidRPr="00BF74CC">
        <w:rPr>
          <w:rFonts w:ascii="Arial" w:hAnsi="Arial" w:cs="Arial"/>
          <w:lang w:val="en-AU"/>
        </w:rPr>
        <w:t xml:space="preserve"> About the Community Support Fund, Department of Treasury and Finance, Melbourne, 2013.</w:t>
      </w:r>
      <w:proofErr w:type="gramEnd"/>
    </w:p>
  </w:footnote>
  <w:footnote w:id="37">
    <w:p w:rsidR="00E43565" w:rsidRPr="00F8117E"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Victorian Local Governance Association, Pokies Assessments: A how-to-guide, p.9.</w:t>
      </w:r>
    </w:p>
  </w:footnote>
  <w:footnote w:id="38">
    <w:p w:rsidR="00E43565" w:rsidRPr="00F8117E"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Victorian Responsible Gambling Foundation, What is responsible gambling?, </w:t>
      </w:r>
      <w:proofErr w:type="spellStart"/>
      <w:r w:rsidRPr="00BF74CC">
        <w:rPr>
          <w:rFonts w:ascii="Arial" w:hAnsi="Arial" w:cs="Arial"/>
          <w:lang w:val="en-AU"/>
        </w:rPr>
        <w:t>VRGF</w:t>
      </w:r>
      <w:proofErr w:type="spellEnd"/>
      <w:r w:rsidRPr="00BF74CC">
        <w:rPr>
          <w:rFonts w:ascii="Arial" w:hAnsi="Arial" w:cs="Arial"/>
          <w:lang w:val="en-AU"/>
        </w:rPr>
        <w:t>, Melbourne, 2013, viewed March 2013, &lt;responsiblegambling.vic.gov.au/&gt;</w:t>
      </w:r>
    </w:p>
  </w:footnote>
  <w:footnote w:id="39">
    <w:p w:rsidR="00E43565" w:rsidRPr="00724288" w:rsidRDefault="00E43565" w:rsidP="00A14868">
      <w:pPr>
        <w:pStyle w:val="FootnoteText"/>
        <w:rPr>
          <w:lang w:val="en-AU"/>
        </w:rPr>
      </w:pPr>
      <w:r>
        <w:rPr>
          <w:rStyle w:val="FootnoteReference"/>
        </w:rPr>
        <w:footnoteRef/>
      </w:r>
      <w:r>
        <w:t xml:space="preserve"> </w:t>
      </w:r>
      <w:r w:rsidRPr="00BF74CC">
        <w:rPr>
          <w:rFonts w:ascii="Arial" w:hAnsi="Arial" w:cs="Arial"/>
          <w:lang w:val="en-AU"/>
        </w:rPr>
        <w:t>Victorian Local Governance Association, Pokies Assessments: A how-to-guide, p.15.</w:t>
      </w:r>
    </w:p>
  </w:footnote>
  <w:footnote w:id="40">
    <w:p w:rsidR="00E43565" w:rsidRPr="007355BE"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Victorian Responsible Gambling Foundation, About Us, Melbourne, 2013, viewed March 2013 &lt;http://www.responsiblegambling.vic.gov.au/about-us&gt;</w:t>
      </w:r>
    </w:p>
  </w:footnote>
  <w:footnote w:id="41">
    <w:p w:rsidR="00E43565" w:rsidRPr="00B161BF" w:rsidRDefault="00E43565">
      <w:pPr>
        <w:pStyle w:val="FootnoteText"/>
        <w:rPr>
          <w:lang w:val="en-AU"/>
        </w:rPr>
      </w:pPr>
      <w:r w:rsidRPr="00001A36">
        <w:rPr>
          <w:rStyle w:val="FootnoteReference"/>
        </w:rPr>
        <w:footnoteRef/>
      </w:r>
      <w:r w:rsidRPr="00001A36">
        <w:t xml:space="preserve"> </w:t>
      </w:r>
      <w:r w:rsidRPr="00242B7C">
        <w:rPr>
          <w:rFonts w:ascii="Arial" w:hAnsi="Arial" w:cs="Arial"/>
          <w:lang w:val="en-AU"/>
        </w:rPr>
        <w:t xml:space="preserve">The McKinnon Hotel applied to VCAT and, then appealed to the Supreme Court, contesting the need for a planning permit to increase the number of </w:t>
      </w:r>
      <w:proofErr w:type="spellStart"/>
      <w:r w:rsidRPr="00242B7C">
        <w:rPr>
          <w:rFonts w:ascii="Arial" w:hAnsi="Arial" w:cs="Arial"/>
          <w:lang w:val="en-AU"/>
        </w:rPr>
        <w:t>EGMs</w:t>
      </w:r>
      <w:proofErr w:type="spellEnd"/>
      <w:r w:rsidRPr="00242B7C">
        <w:rPr>
          <w:rFonts w:ascii="Arial" w:hAnsi="Arial" w:cs="Arial"/>
          <w:lang w:val="en-AU"/>
        </w:rPr>
        <w:t xml:space="preserve"> under existing use rights, as prior to 2006 no planning permit was required for </w:t>
      </w:r>
      <w:proofErr w:type="spellStart"/>
      <w:r w:rsidRPr="00242B7C">
        <w:rPr>
          <w:rFonts w:ascii="Arial" w:hAnsi="Arial" w:cs="Arial"/>
          <w:lang w:val="en-AU"/>
        </w:rPr>
        <w:t>EGMs</w:t>
      </w:r>
      <w:proofErr w:type="spellEnd"/>
      <w:r w:rsidRPr="00242B7C">
        <w:rPr>
          <w:rFonts w:ascii="Arial" w:hAnsi="Arial" w:cs="Arial"/>
          <w:lang w:val="en-AU"/>
        </w:rPr>
        <w:t xml:space="preserve"> if they took up less than 25 per cent of the floor space of a hotel. The additional </w:t>
      </w:r>
      <w:proofErr w:type="spellStart"/>
      <w:r w:rsidRPr="00242B7C">
        <w:rPr>
          <w:rFonts w:ascii="Arial" w:hAnsi="Arial" w:cs="Arial"/>
          <w:lang w:val="en-AU"/>
        </w:rPr>
        <w:t>EGMs</w:t>
      </w:r>
      <w:proofErr w:type="spellEnd"/>
      <w:r w:rsidRPr="00242B7C">
        <w:rPr>
          <w:rFonts w:ascii="Arial" w:hAnsi="Arial" w:cs="Arial"/>
          <w:lang w:val="en-AU"/>
        </w:rPr>
        <w:t xml:space="preserve"> were to be installed and used within the existing gaming room, which took up less than 25 per cent of the floor space of the hotel. The Victorian Supreme Court found that no planning permission was required under Clause 52.28 for the installation of additional </w:t>
      </w:r>
      <w:proofErr w:type="spellStart"/>
      <w:r w:rsidRPr="00242B7C">
        <w:rPr>
          <w:rFonts w:ascii="Arial" w:hAnsi="Arial" w:cs="Arial"/>
          <w:lang w:val="en-AU"/>
        </w:rPr>
        <w:t>EGMs</w:t>
      </w:r>
      <w:proofErr w:type="spellEnd"/>
      <w:r w:rsidRPr="00242B7C">
        <w:rPr>
          <w:rFonts w:ascii="Arial" w:hAnsi="Arial" w:cs="Arial"/>
          <w:lang w:val="en-AU"/>
        </w:rPr>
        <w:t xml:space="preserve"> at the venue in the circumstances where no other development was proposed (Victorian Local Government Association, Pokies Assessments: a 'how to' guide, </w:t>
      </w:r>
      <w:proofErr w:type="spellStart"/>
      <w:r w:rsidRPr="00242B7C">
        <w:rPr>
          <w:rFonts w:ascii="Arial" w:hAnsi="Arial" w:cs="Arial"/>
          <w:lang w:val="en-AU"/>
        </w:rPr>
        <w:t>VLGA</w:t>
      </w:r>
      <w:proofErr w:type="spellEnd"/>
      <w:r w:rsidRPr="00242B7C">
        <w:rPr>
          <w:rFonts w:ascii="Arial" w:hAnsi="Arial" w:cs="Arial"/>
          <w:lang w:val="en-AU"/>
        </w:rPr>
        <w:t>, Melbourne, 2012, pp.43, 105)</w:t>
      </w:r>
      <w:r>
        <w:rPr>
          <w:rFonts w:ascii="Arial" w:hAnsi="Arial" w:cs="Arial"/>
          <w:lang w:val="en-AU"/>
        </w:rPr>
        <w:t>.</w:t>
      </w:r>
    </w:p>
  </w:footnote>
  <w:footnote w:id="42">
    <w:p w:rsidR="00E43565" w:rsidRPr="00E77536"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Victorian Local Governance Associations, Pokies Assessments: a how-to-guide, p.65.</w:t>
      </w:r>
    </w:p>
  </w:footnote>
  <w:footnote w:id="43">
    <w:p w:rsidR="00E43565" w:rsidRPr="00E77536"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Productivity </w:t>
      </w:r>
      <w:proofErr w:type="spellStart"/>
      <w:r w:rsidRPr="00BF74CC">
        <w:rPr>
          <w:rFonts w:ascii="Arial" w:hAnsi="Arial" w:cs="Arial"/>
          <w:lang w:val="en-AU"/>
        </w:rPr>
        <w:t>Commision</w:t>
      </w:r>
      <w:proofErr w:type="spellEnd"/>
      <w:r w:rsidRPr="00BF74CC">
        <w:rPr>
          <w:rFonts w:ascii="Arial" w:hAnsi="Arial" w:cs="Arial"/>
          <w:lang w:val="en-AU"/>
        </w:rPr>
        <w:t>, Australia's Gambling Industries: Inquiry Report</w:t>
      </w:r>
      <w:r w:rsidRPr="00BF74CC">
        <w:rPr>
          <w:rFonts w:ascii="Arial" w:hAnsi="Arial" w:cs="Arial"/>
          <w:i/>
          <w:lang w:val="en-AU"/>
        </w:rPr>
        <w:t xml:space="preserve"> </w:t>
      </w:r>
      <w:r w:rsidRPr="00BF74CC">
        <w:rPr>
          <w:rFonts w:ascii="Arial" w:hAnsi="Arial" w:cs="Arial"/>
          <w:lang w:val="en-AU"/>
        </w:rPr>
        <w:t>Productivity Commission, Canberra, 1999, p.23</w:t>
      </w:r>
      <w:r>
        <w:rPr>
          <w:rFonts w:ascii="Arial" w:hAnsi="Arial" w:cs="Arial"/>
          <w:lang w:val="en-AU"/>
        </w:rPr>
        <w:t>.</w:t>
      </w:r>
    </w:p>
  </w:footnote>
  <w:footnote w:id="44">
    <w:p w:rsidR="00E43565" w:rsidRPr="00680799"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 xml:space="preserve">Department of Justice, </w:t>
      </w:r>
      <w:r w:rsidRPr="00BF74CC">
        <w:rPr>
          <w:rFonts w:ascii="Arial" w:hAnsi="Arial" w:cs="Arial"/>
          <w:i/>
          <w:lang w:val="en-AU"/>
        </w:rPr>
        <w:t>A guide to using a health promotion approach to problem gambling</w:t>
      </w:r>
      <w:r>
        <w:rPr>
          <w:rFonts w:ascii="Arial" w:hAnsi="Arial" w:cs="Arial"/>
          <w:lang w:val="en-AU"/>
        </w:rPr>
        <w:t>,</w:t>
      </w:r>
      <w:r w:rsidRPr="00BF74CC">
        <w:rPr>
          <w:rFonts w:ascii="Arial" w:hAnsi="Arial" w:cs="Arial"/>
          <w:lang w:val="en-AU"/>
        </w:rPr>
        <w:t xml:space="preserve"> Melbourne, 2010, p.7.</w:t>
      </w:r>
      <w:r>
        <w:rPr>
          <w:rFonts w:ascii="Arial" w:hAnsi="Arial" w:cs="Arial"/>
          <w:lang w:val="en-AU"/>
        </w:rPr>
        <w:t xml:space="preserve">; </w:t>
      </w:r>
      <w:r w:rsidRPr="00964A08">
        <w:rPr>
          <w:rFonts w:ascii="Arial" w:hAnsi="Arial" w:cs="Arial"/>
          <w:lang w:val="en-AU"/>
        </w:rPr>
        <w:t xml:space="preserve">Department of Justice, </w:t>
      </w:r>
      <w:r w:rsidRPr="009161A2">
        <w:rPr>
          <w:rFonts w:ascii="Arial" w:hAnsi="Arial" w:cs="Arial"/>
          <w:lang w:val="en-AU"/>
        </w:rPr>
        <w:t xml:space="preserve">The Health Promotion Resource Kit for Problem Gambling, Part 3: What are examples of </w:t>
      </w:r>
      <w:proofErr w:type="spellStart"/>
      <w:r w:rsidRPr="009161A2">
        <w:rPr>
          <w:rFonts w:ascii="Arial" w:hAnsi="Arial" w:cs="Arial"/>
          <w:lang w:val="en-AU"/>
        </w:rPr>
        <w:t>IHP</w:t>
      </w:r>
      <w:proofErr w:type="spellEnd"/>
      <w:r w:rsidRPr="009161A2">
        <w:rPr>
          <w:rFonts w:ascii="Arial" w:hAnsi="Arial" w:cs="Arial"/>
          <w:lang w:val="en-AU"/>
        </w:rPr>
        <w:t xml:space="preserve"> in problem gambling</w:t>
      </w:r>
      <w:r>
        <w:rPr>
          <w:rFonts w:ascii="Arial" w:hAnsi="Arial" w:cs="Arial"/>
          <w:i/>
          <w:lang w:val="en-AU"/>
        </w:rPr>
        <w:t xml:space="preserve">, </w:t>
      </w:r>
      <w:r w:rsidRPr="00964A08">
        <w:rPr>
          <w:rFonts w:ascii="Arial" w:hAnsi="Arial" w:cs="Arial"/>
          <w:lang w:val="en-AU"/>
        </w:rPr>
        <w:t>Melbourne, 2009</w:t>
      </w:r>
      <w:r>
        <w:rPr>
          <w:rFonts w:ascii="Arial" w:hAnsi="Arial" w:cs="Arial"/>
          <w:lang w:val="en-AU"/>
        </w:rPr>
        <w:t>, p.32.</w:t>
      </w:r>
    </w:p>
  </w:footnote>
  <w:footnote w:id="45">
    <w:p w:rsidR="00E43565" w:rsidRPr="00671B9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sidRPr="00BF74CC">
        <w:rPr>
          <w:rFonts w:ascii="Arial" w:hAnsi="Arial" w:cs="Arial"/>
          <w:lang w:val="en-AU"/>
        </w:rPr>
        <w:t xml:space="preserve">Inner East Primary Care Partnership, </w:t>
      </w:r>
      <w:r w:rsidRPr="00BF74CC">
        <w:rPr>
          <w:rFonts w:ascii="Arial" w:hAnsi="Arial" w:cs="Arial"/>
          <w:i/>
          <w:lang w:val="en-AU"/>
        </w:rPr>
        <w:t>Health Promotion Resource Guide for Problem Gambling Prevention in Melbourne's East</w:t>
      </w:r>
      <w:r w:rsidRPr="00BF74CC">
        <w:rPr>
          <w:rFonts w:ascii="Arial" w:hAnsi="Arial" w:cs="Arial"/>
          <w:lang w:val="en-AU"/>
        </w:rPr>
        <w:t>, Melbourne, 2010, p.10.</w:t>
      </w:r>
      <w:proofErr w:type="gramEnd"/>
    </w:p>
  </w:footnote>
  <w:footnote w:id="46">
    <w:p w:rsidR="00E43565" w:rsidRPr="00671B9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Victorian Local Governance Association, Pokies Assessments: a how-to-guide, p</w:t>
      </w:r>
      <w:r>
        <w:rPr>
          <w:rFonts w:ascii="Arial" w:hAnsi="Arial" w:cs="Arial"/>
          <w:lang w:val="en-AU"/>
        </w:rPr>
        <w:t>p</w:t>
      </w:r>
      <w:r w:rsidRPr="00BF74CC">
        <w:rPr>
          <w:rFonts w:ascii="Arial" w:hAnsi="Arial" w:cs="Arial"/>
          <w:lang w:val="en-AU"/>
        </w:rPr>
        <w:t>.</w:t>
      </w:r>
      <w:r>
        <w:rPr>
          <w:rFonts w:ascii="Arial" w:hAnsi="Arial" w:cs="Arial"/>
          <w:lang w:val="en-AU"/>
        </w:rPr>
        <w:t xml:space="preserve">21, </w:t>
      </w:r>
      <w:r w:rsidRPr="00BF74CC">
        <w:rPr>
          <w:rFonts w:ascii="Arial" w:hAnsi="Arial" w:cs="Arial"/>
          <w:lang w:val="en-AU"/>
        </w:rPr>
        <w:t>39.</w:t>
      </w:r>
    </w:p>
  </w:footnote>
  <w:footnote w:id="47">
    <w:p w:rsidR="00E43565" w:rsidRPr="00671B97"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r w:rsidRPr="00BF74CC">
        <w:rPr>
          <w:rFonts w:ascii="Arial" w:hAnsi="Arial" w:cs="Arial"/>
          <w:lang w:val="en-AU"/>
        </w:rPr>
        <w:t>ibid.</w:t>
      </w:r>
    </w:p>
  </w:footnote>
  <w:footnote w:id="48">
    <w:p w:rsidR="00E43565" w:rsidRPr="001B3A46" w:rsidRDefault="00E43565" w:rsidP="00A14868">
      <w:pPr>
        <w:pStyle w:val="FootnoteText"/>
        <w:rPr>
          <w:rFonts w:ascii="Arial" w:hAnsi="Arial" w:cs="Arial"/>
          <w:lang w:val="en-AU"/>
        </w:rPr>
      </w:pPr>
      <w:r w:rsidRPr="00BF74CC">
        <w:rPr>
          <w:rStyle w:val="FootnoteReference"/>
          <w:rFonts w:ascii="Arial" w:hAnsi="Arial" w:cs="Arial"/>
        </w:rPr>
        <w:footnoteRef/>
      </w:r>
      <w:r w:rsidRPr="00BF74CC">
        <w:rPr>
          <w:rFonts w:ascii="Arial" w:hAnsi="Arial" w:cs="Arial"/>
        </w:rPr>
        <w:t xml:space="preserve"> </w:t>
      </w:r>
      <w:proofErr w:type="gramStart"/>
      <w:r w:rsidRPr="00BF74CC">
        <w:rPr>
          <w:rFonts w:ascii="Arial" w:hAnsi="Arial" w:cs="Arial"/>
        </w:rPr>
        <w:t>City of Boroondara, unpublished data from the telephone survey for the development of the draft Boroondara Public Health and Wellbeing Plan, C</w:t>
      </w:r>
      <w:r>
        <w:rPr>
          <w:rFonts w:ascii="Arial" w:hAnsi="Arial" w:cs="Arial"/>
        </w:rPr>
        <w:t xml:space="preserve">ity </w:t>
      </w:r>
      <w:r w:rsidRPr="00BF74CC">
        <w:rPr>
          <w:rFonts w:ascii="Arial" w:hAnsi="Arial" w:cs="Arial"/>
        </w:rPr>
        <w:t>o</w:t>
      </w:r>
      <w:r>
        <w:rPr>
          <w:rFonts w:ascii="Arial" w:hAnsi="Arial" w:cs="Arial"/>
        </w:rPr>
        <w:t xml:space="preserve">f </w:t>
      </w:r>
      <w:r w:rsidRPr="00BF74CC">
        <w:rPr>
          <w:rFonts w:ascii="Arial" w:hAnsi="Arial" w:cs="Arial"/>
        </w:rPr>
        <w:t>B</w:t>
      </w:r>
      <w:r>
        <w:rPr>
          <w:rFonts w:ascii="Arial" w:hAnsi="Arial" w:cs="Arial"/>
        </w:rPr>
        <w:t>oroondara</w:t>
      </w:r>
      <w:r w:rsidRPr="00BF74CC">
        <w:rPr>
          <w:rFonts w:ascii="Arial" w:hAnsi="Arial" w:cs="Arial"/>
        </w:rPr>
        <w:t>, Melbourne, December 2012</w:t>
      </w:r>
      <w:r>
        <w:rPr>
          <w:rFonts w:ascii="Arial" w:hAnsi="Arial" w:cs="Arial"/>
        </w:rPr>
        <w:t>.</w:t>
      </w:r>
      <w:proofErr w:type="gramEnd"/>
    </w:p>
  </w:footnote>
  <w:footnote w:id="49">
    <w:p w:rsidR="00E43565" w:rsidRPr="00B222ED" w:rsidRDefault="00E43565">
      <w:pPr>
        <w:pStyle w:val="FootnoteText"/>
        <w:rPr>
          <w:lang w:val="en-AU"/>
        </w:rPr>
      </w:pPr>
      <w:r>
        <w:rPr>
          <w:rStyle w:val="FootnoteReference"/>
        </w:rPr>
        <w:footnoteRef/>
      </w:r>
      <w:r>
        <w:t xml:space="preserve"> </w:t>
      </w:r>
      <w:r w:rsidRPr="00001A36">
        <w:rPr>
          <w:lang w:val="en-AU"/>
        </w:rPr>
        <w:t xml:space="preserve">Transferred expenditure refers to expenditure which would have been spent on </w:t>
      </w:r>
      <w:proofErr w:type="spellStart"/>
      <w:r w:rsidRPr="00001A36">
        <w:rPr>
          <w:lang w:val="en-AU"/>
        </w:rPr>
        <w:t>EGMs</w:t>
      </w:r>
      <w:proofErr w:type="spellEnd"/>
      <w:r w:rsidRPr="00001A36">
        <w:rPr>
          <w:lang w:val="en-AU"/>
        </w:rPr>
        <w:t xml:space="preserve"> in other venues anyway. This expenditure is therefore not considered new expenditure on </w:t>
      </w:r>
      <w:proofErr w:type="spellStart"/>
      <w:r w:rsidRPr="00001A36">
        <w:rPr>
          <w:lang w:val="en-AU"/>
        </w:rPr>
        <w:t>EGMs</w:t>
      </w:r>
      <w:proofErr w:type="spellEnd"/>
      <w:r w:rsidRPr="00001A36">
        <w:rPr>
          <w:lang w:val="en-AU"/>
        </w:rPr>
        <w:t>.</w:t>
      </w:r>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Pr="003067E9" w:rsidRDefault="00E43565" w:rsidP="004B1F9E">
    <w:pPr>
      <w:ind w:left="7200" w:firstLine="720"/>
      <w:jc w:val="center"/>
      <w:rPr>
        <w:rFonts w:ascii="Arial" w:hAnsi="Arial" w:cs="Arial"/>
        <w:b/>
      </w:rPr>
    </w:pPr>
    <w:r>
      <w:rPr>
        <w:rFonts w:ascii="Arial" w:hAnsi="Arial" w:cs="Arial"/>
        <w:b/>
        <w:noProof/>
        <w:lang w:val="en-AU" w:eastAsia="en-AU"/>
      </w:rPr>
      <w:drawing>
        <wp:anchor distT="0" distB="0" distL="114300" distR="114300" simplePos="0" relativeHeight="251656704" behindDoc="1" locked="0" layoutInCell="1" allowOverlap="1">
          <wp:simplePos x="0" y="0"/>
          <wp:positionH relativeFrom="column">
            <wp:posOffset>-657225</wp:posOffset>
          </wp:positionH>
          <wp:positionV relativeFrom="paragraph">
            <wp:posOffset>-473075</wp:posOffset>
          </wp:positionV>
          <wp:extent cx="7599680" cy="10747375"/>
          <wp:effectExtent l="19050" t="0" r="1270" b="0"/>
          <wp:wrapNone/>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47375"/>
                  </a:xfrm>
                  <a:prstGeom prst="rect">
                    <a:avLst/>
                  </a:prstGeom>
                  <a:noFill/>
                  <a:ln>
                    <a:noFill/>
                  </a:ln>
                </pic:spPr>
              </pic:pic>
            </a:graphicData>
          </a:graphic>
        </wp:anchor>
      </w:drawing>
    </w:r>
    <w:r>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E43565">
    <w:pPr>
      <w:pStyle w:val="Header"/>
    </w:pPr>
    <w:r>
      <w:tab/>
    </w:r>
    <w:r>
      <w:tab/>
      <w:t xml:space="preserve"> </w:t>
    </w:r>
  </w:p>
  <w:p w:rsidR="00E43565" w:rsidRDefault="00E43565" w:rsidP="00F03287">
    <w:pPr>
      <w:tabs>
        <w:tab w:val="left" w:pos="1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381E5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90D55"/>
    <w:multiLevelType w:val="hybridMultilevel"/>
    <w:tmpl w:val="44F02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B3130"/>
    <w:multiLevelType w:val="hybridMultilevel"/>
    <w:tmpl w:val="97C6001E"/>
    <w:lvl w:ilvl="0" w:tplc="9F7847B6">
      <w:start w:val="1"/>
      <w:numFmt w:val="decimal"/>
      <w:lvlText w:val="%1."/>
      <w:lvlJc w:val="left"/>
      <w:pPr>
        <w:ind w:left="720" w:hanging="360"/>
      </w:pPr>
      <w:rPr>
        <w:rFonts w:ascii="Arial" w:hAnsi="Arial" w:cs="Arial" w:hint="default"/>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3D2DD3"/>
    <w:multiLevelType w:val="hybridMultilevel"/>
    <w:tmpl w:val="7998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14686"/>
    <w:multiLevelType w:val="hybridMultilevel"/>
    <w:tmpl w:val="483A2C0A"/>
    <w:lvl w:ilvl="0" w:tplc="DEF04016">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6E29A7"/>
    <w:multiLevelType w:val="hybridMultilevel"/>
    <w:tmpl w:val="2818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12462"/>
    <w:multiLevelType w:val="hybridMultilevel"/>
    <w:tmpl w:val="3C063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7A0041"/>
    <w:multiLevelType w:val="hybridMultilevel"/>
    <w:tmpl w:val="35207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043A68"/>
    <w:multiLevelType w:val="hybridMultilevel"/>
    <w:tmpl w:val="1866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E27A5B"/>
    <w:multiLevelType w:val="hybridMultilevel"/>
    <w:tmpl w:val="14E61A60"/>
    <w:lvl w:ilvl="0" w:tplc="3D5C42C0">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CD3FEB"/>
    <w:multiLevelType w:val="hybridMultilevel"/>
    <w:tmpl w:val="567AF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F118FE"/>
    <w:multiLevelType w:val="hybridMultilevel"/>
    <w:tmpl w:val="09CC2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B22029D"/>
    <w:multiLevelType w:val="hybridMultilevel"/>
    <w:tmpl w:val="D0721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A17BDE"/>
    <w:multiLevelType w:val="hybridMultilevel"/>
    <w:tmpl w:val="A71C52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2C8946EF"/>
    <w:multiLevelType w:val="hybridMultilevel"/>
    <w:tmpl w:val="E842D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D35B25"/>
    <w:multiLevelType w:val="hybridMultilevel"/>
    <w:tmpl w:val="C6A08A94"/>
    <w:lvl w:ilvl="0" w:tplc="A23EC28A">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F993306"/>
    <w:multiLevelType w:val="hybridMultilevel"/>
    <w:tmpl w:val="95AEDD86"/>
    <w:lvl w:ilvl="0" w:tplc="DD2A5710">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2CB4E3F"/>
    <w:multiLevelType w:val="hybridMultilevel"/>
    <w:tmpl w:val="1FD8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3C312F"/>
    <w:multiLevelType w:val="hybridMultilevel"/>
    <w:tmpl w:val="3F6691D6"/>
    <w:lvl w:ilvl="0" w:tplc="2FFAEE66">
      <w:start w:val="1"/>
      <w:numFmt w:val="bullet"/>
      <w:lvlText w:val="-"/>
      <w:lvlJc w:val="left"/>
      <w:pPr>
        <w:ind w:left="1800" w:hanging="360"/>
      </w:pPr>
      <w:rPr>
        <w:rFonts w:ascii="Courier New" w:hAnsi="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374E5A34"/>
    <w:multiLevelType w:val="hybridMultilevel"/>
    <w:tmpl w:val="9DDEFD46"/>
    <w:lvl w:ilvl="0" w:tplc="FF5C0314">
      <w:start w:val="6"/>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887937"/>
    <w:multiLevelType w:val="hybridMultilevel"/>
    <w:tmpl w:val="EF0E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BF303D"/>
    <w:multiLevelType w:val="hybridMultilevel"/>
    <w:tmpl w:val="DF52D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D26872"/>
    <w:multiLevelType w:val="hybridMultilevel"/>
    <w:tmpl w:val="76CE5C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555B17"/>
    <w:multiLevelType w:val="hybridMultilevel"/>
    <w:tmpl w:val="40881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438545B"/>
    <w:multiLevelType w:val="hybridMultilevel"/>
    <w:tmpl w:val="C106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AF735C"/>
    <w:multiLevelType w:val="hybridMultilevel"/>
    <w:tmpl w:val="C274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D448AA"/>
    <w:multiLevelType w:val="hybridMultilevel"/>
    <w:tmpl w:val="B4B05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7D503F1"/>
    <w:multiLevelType w:val="hybridMultilevel"/>
    <w:tmpl w:val="CEA8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373A09"/>
    <w:multiLevelType w:val="hybridMultilevel"/>
    <w:tmpl w:val="6A1E7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349684D"/>
    <w:multiLevelType w:val="hybridMultilevel"/>
    <w:tmpl w:val="3834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FD524D"/>
    <w:multiLevelType w:val="hybridMultilevel"/>
    <w:tmpl w:val="91FE31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780A02"/>
    <w:multiLevelType w:val="hybridMultilevel"/>
    <w:tmpl w:val="86E2F66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07C4A6C"/>
    <w:multiLevelType w:val="hybridMultilevel"/>
    <w:tmpl w:val="A6381A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A6B6846"/>
    <w:multiLevelType w:val="hybridMultilevel"/>
    <w:tmpl w:val="23FE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BA29F6"/>
    <w:multiLevelType w:val="hybridMultilevel"/>
    <w:tmpl w:val="FB9A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1E6726"/>
    <w:multiLevelType w:val="hybridMultilevel"/>
    <w:tmpl w:val="186E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F145A8"/>
    <w:multiLevelType w:val="multilevel"/>
    <w:tmpl w:val="6978C0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7314098A"/>
    <w:multiLevelType w:val="hybridMultilevel"/>
    <w:tmpl w:val="10A4B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8F2713"/>
    <w:multiLevelType w:val="hybridMultilevel"/>
    <w:tmpl w:val="85964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31153D"/>
    <w:multiLevelType w:val="hybridMultilevel"/>
    <w:tmpl w:val="94CA7052"/>
    <w:lvl w:ilvl="0" w:tplc="A23EC28A">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CB46235"/>
    <w:multiLevelType w:val="hybridMultilevel"/>
    <w:tmpl w:val="CD54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E90465"/>
    <w:multiLevelType w:val="hybridMultilevel"/>
    <w:tmpl w:val="ACF25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0"/>
  </w:num>
  <w:num w:numId="4">
    <w:abstractNumId w:val="11"/>
  </w:num>
  <w:num w:numId="5">
    <w:abstractNumId w:val="16"/>
  </w:num>
  <w:num w:numId="6">
    <w:abstractNumId w:val="10"/>
  </w:num>
  <w:num w:numId="7">
    <w:abstractNumId w:val="21"/>
  </w:num>
  <w:num w:numId="8">
    <w:abstractNumId w:val="4"/>
  </w:num>
  <w:num w:numId="9">
    <w:abstractNumId w:val="6"/>
  </w:num>
  <w:num w:numId="10">
    <w:abstractNumId w:val="26"/>
  </w:num>
  <w:num w:numId="11">
    <w:abstractNumId w:val="14"/>
  </w:num>
  <w:num w:numId="12">
    <w:abstractNumId w:val="37"/>
  </w:num>
  <w:num w:numId="13">
    <w:abstractNumId w:val="27"/>
  </w:num>
  <w:num w:numId="14">
    <w:abstractNumId w:val="39"/>
  </w:num>
  <w:num w:numId="15">
    <w:abstractNumId w:val="18"/>
  </w:num>
  <w:num w:numId="16">
    <w:abstractNumId w:val="0"/>
  </w:num>
  <w:num w:numId="17">
    <w:abstractNumId w:val="8"/>
  </w:num>
  <w:num w:numId="18">
    <w:abstractNumId w:val="20"/>
  </w:num>
  <w:num w:numId="19">
    <w:abstractNumId w:val="41"/>
  </w:num>
  <w:num w:numId="20">
    <w:abstractNumId w:val="23"/>
  </w:num>
  <w:num w:numId="21">
    <w:abstractNumId w:val="15"/>
  </w:num>
  <w:num w:numId="22">
    <w:abstractNumId w:val="25"/>
  </w:num>
  <w:num w:numId="23">
    <w:abstractNumId w:val="19"/>
  </w:num>
  <w:num w:numId="24">
    <w:abstractNumId w:val="3"/>
  </w:num>
  <w:num w:numId="25">
    <w:abstractNumId w:val="38"/>
  </w:num>
  <w:num w:numId="26">
    <w:abstractNumId w:val="40"/>
  </w:num>
  <w:num w:numId="27">
    <w:abstractNumId w:val="9"/>
  </w:num>
  <w:num w:numId="28">
    <w:abstractNumId w:val="31"/>
  </w:num>
  <w:num w:numId="29">
    <w:abstractNumId w:val="13"/>
  </w:num>
  <w:num w:numId="30">
    <w:abstractNumId w:val="35"/>
  </w:num>
  <w:num w:numId="31">
    <w:abstractNumId w:val="5"/>
  </w:num>
  <w:num w:numId="32">
    <w:abstractNumId w:val="33"/>
  </w:num>
  <w:num w:numId="33">
    <w:abstractNumId w:val="29"/>
  </w:num>
  <w:num w:numId="34">
    <w:abstractNumId w:val="28"/>
  </w:num>
  <w:num w:numId="35">
    <w:abstractNumId w:val="24"/>
  </w:num>
  <w:num w:numId="36">
    <w:abstractNumId w:val="1"/>
  </w:num>
  <w:num w:numId="37">
    <w:abstractNumId w:val="7"/>
  </w:num>
  <w:num w:numId="38">
    <w:abstractNumId w:val="22"/>
  </w:num>
  <w:num w:numId="39">
    <w:abstractNumId w:val="12"/>
  </w:num>
  <w:num w:numId="40">
    <w:abstractNumId w:val="2"/>
  </w:num>
  <w:num w:numId="41">
    <w:abstractNumId w:val="34"/>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8"/>
    <w:rsid w:val="00001A36"/>
    <w:rsid w:val="000037E3"/>
    <w:rsid w:val="00003937"/>
    <w:rsid w:val="00004F96"/>
    <w:rsid w:val="000169DD"/>
    <w:rsid w:val="00035799"/>
    <w:rsid w:val="00036CC5"/>
    <w:rsid w:val="000527D7"/>
    <w:rsid w:val="00056153"/>
    <w:rsid w:val="0008740C"/>
    <w:rsid w:val="000914E1"/>
    <w:rsid w:val="000B0022"/>
    <w:rsid w:val="000B345B"/>
    <w:rsid w:val="000D48CF"/>
    <w:rsid w:val="000F07FC"/>
    <w:rsid w:val="000F686F"/>
    <w:rsid w:val="001004FE"/>
    <w:rsid w:val="00101165"/>
    <w:rsid w:val="00113AD2"/>
    <w:rsid w:val="00116C76"/>
    <w:rsid w:val="00116E5D"/>
    <w:rsid w:val="00121F08"/>
    <w:rsid w:val="00122B3F"/>
    <w:rsid w:val="001301E6"/>
    <w:rsid w:val="00133144"/>
    <w:rsid w:val="00133E2B"/>
    <w:rsid w:val="001355B3"/>
    <w:rsid w:val="001403CC"/>
    <w:rsid w:val="0014259F"/>
    <w:rsid w:val="00147BB6"/>
    <w:rsid w:val="00147DEE"/>
    <w:rsid w:val="00155BC2"/>
    <w:rsid w:val="00172C77"/>
    <w:rsid w:val="00174BB5"/>
    <w:rsid w:val="00180E75"/>
    <w:rsid w:val="00185F1C"/>
    <w:rsid w:val="00191EE5"/>
    <w:rsid w:val="00197A95"/>
    <w:rsid w:val="001A1DCB"/>
    <w:rsid w:val="001A5A76"/>
    <w:rsid w:val="001B1CD2"/>
    <w:rsid w:val="001B3A46"/>
    <w:rsid w:val="001B7B42"/>
    <w:rsid w:val="001C7669"/>
    <w:rsid w:val="001D1411"/>
    <w:rsid w:val="001D2933"/>
    <w:rsid w:val="001E1327"/>
    <w:rsid w:val="001E6058"/>
    <w:rsid w:val="001E787D"/>
    <w:rsid w:val="001F54CF"/>
    <w:rsid w:val="0020067A"/>
    <w:rsid w:val="002030A3"/>
    <w:rsid w:val="002051BA"/>
    <w:rsid w:val="002056B7"/>
    <w:rsid w:val="00206CF1"/>
    <w:rsid w:val="002127DB"/>
    <w:rsid w:val="00232A11"/>
    <w:rsid w:val="002377D6"/>
    <w:rsid w:val="002403E3"/>
    <w:rsid w:val="002412E8"/>
    <w:rsid w:val="00242B7C"/>
    <w:rsid w:val="00263DF7"/>
    <w:rsid w:val="00265DB0"/>
    <w:rsid w:val="002706A0"/>
    <w:rsid w:val="00274B99"/>
    <w:rsid w:val="00276AC7"/>
    <w:rsid w:val="002832EA"/>
    <w:rsid w:val="002956D1"/>
    <w:rsid w:val="002A4FA1"/>
    <w:rsid w:val="002A7B63"/>
    <w:rsid w:val="002B6843"/>
    <w:rsid w:val="002B7650"/>
    <w:rsid w:val="002C2D0B"/>
    <w:rsid w:val="002D003E"/>
    <w:rsid w:val="002D01EB"/>
    <w:rsid w:val="002D1121"/>
    <w:rsid w:val="002D5089"/>
    <w:rsid w:val="002D5566"/>
    <w:rsid w:val="002D5D9C"/>
    <w:rsid w:val="002D6C07"/>
    <w:rsid w:val="002E00E2"/>
    <w:rsid w:val="002F1C95"/>
    <w:rsid w:val="002F4650"/>
    <w:rsid w:val="00300713"/>
    <w:rsid w:val="00302071"/>
    <w:rsid w:val="00314336"/>
    <w:rsid w:val="00316086"/>
    <w:rsid w:val="003202CF"/>
    <w:rsid w:val="003228F7"/>
    <w:rsid w:val="00323F67"/>
    <w:rsid w:val="00331F09"/>
    <w:rsid w:val="00346833"/>
    <w:rsid w:val="00367C26"/>
    <w:rsid w:val="00374D93"/>
    <w:rsid w:val="00383416"/>
    <w:rsid w:val="00387E75"/>
    <w:rsid w:val="003A438F"/>
    <w:rsid w:val="003A6E61"/>
    <w:rsid w:val="003A7E2E"/>
    <w:rsid w:val="003B0422"/>
    <w:rsid w:val="003B09F9"/>
    <w:rsid w:val="003B5580"/>
    <w:rsid w:val="003C25D0"/>
    <w:rsid w:val="003D5181"/>
    <w:rsid w:val="003D557F"/>
    <w:rsid w:val="003E72A6"/>
    <w:rsid w:val="003F3806"/>
    <w:rsid w:val="003F3B38"/>
    <w:rsid w:val="003F43D1"/>
    <w:rsid w:val="003F5E9C"/>
    <w:rsid w:val="003F6C56"/>
    <w:rsid w:val="00404FF4"/>
    <w:rsid w:val="004106D8"/>
    <w:rsid w:val="004141EA"/>
    <w:rsid w:val="00416B82"/>
    <w:rsid w:val="00417EE6"/>
    <w:rsid w:val="004200AC"/>
    <w:rsid w:val="0042238E"/>
    <w:rsid w:val="00423C96"/>
    <w:rsid w:val="004241A1"/>
    <w:rsid w:val="00425A05"/>
    <w:rsid w:val="0042794D"/>
    <w:rsid w:val="0043664C"/>
    <w:rsid w:val="00436D18"/>
    <w:rsid w:val="004377E5"/>
    <w:rsid w:val="00446C99"/>
    <w:rsid w:val="00451444"/>
    <w:rsid w:val="004515A7"/>
    <w:rsid w:val="00451769"/>
    <w:rsid w:val="00457E23"/>
    <w:rsid w:val="00463617"/>
    <w:rsid w:val="00466D22"/>
    <w:rsid w:val="0047384E"/>
    <w:rsid w:val="00476B0F"/>
    <w:rsid w:val="00487E35"/>
    <w:rsid w:val="004A6E7C"/>
    <w:rsid w:val="004A776E"/>
    <w:rsid w:val="004B1F9E"/>
    <w:rsid w:val="004C1C52"/>
    <w:rsid w:val="004D31A7"/>
    <w:rsid w:val="004D35F0"/>
    <w:rsid w:val="004D525A"/>
    <w:rsid w:val="004D7472"/>
    <w:rsid w:val="004E008E"/>
    <w:rsid w:val="004E29E4"/>
    <w:rsid w:val="004E5B44"/>
    <w:rsid w:val="004E6C4B"/>
    <w:rsid w:val="004F062E"/>
    <w:rsid w:val="004F21D1"/>
    <w:rsid w:val="00500A0F"/>
    <w:rsid w:val="00501CAF"/>
    <w:rsid w:val="00504456"/>
    <w:rsid w:val="005377A1"/>
    <w:rsid w:val="00547718"/>
    <w:rsid w:val="00557C70"/>
    <w:rsid w:val="00557F03"/>
    <w:rsid w:val="00561F14"/>
    <w:rsid w:val="00566927"/>
    <w:rsid w:val="005739B2"/>
    <w:rsid w:val="00580D99"/>
    <w:rsid w:val="0058175F"/>
    <w:rsid w:val="005A00FB"/>
    <w:rsid w:val="005B5B0B"/>
    <w:rsid w:val="005C18B4"/>
    <w:rsid w:val="005D3B9D"/>
    <w:rsid w:val="005D57A8"/>
    <w:rsid w:val="005E095A"/>
    <w:rsid w:val="005E194A"/>
    <w:rsid w:val="005E1F73"/>
    <w:rsid w:val="005E4597"/>
    <w:rsid w:val="005F08CA"/>
    <w:rsid w:val="005F31D5"/>
    <w:rsid w:val="00605493"/>
    <w:rsid w:val="006065F8"/>
    <w:rsid w:val="00613460"/>
    <w:rsid w:val="0061584A"/>
    <w:rsid w:val="00635E16"/>
    <w:rsid w:val="00641657"/>
    <w:rsid w:val="00642BE5"/>
    <w:rsid w:val="00664757"/>
    <w:rsid w:val="00666E63"/>
    <w:rsid w:val="00670D30"/>
    <w:rsid w:val="00671B97"/>
    <w:rsid w:val="00672C30"/>
    <w:rsid w:val="00677204"/>
    <w:rsid w:val="00677883"/>
    <w:rsid w:val="00680799"/>
    <w:rsid w:val="00694A80"/>
    <w:rsid w:val="006A3214"/>
    <w:rsid w:val="006A5741"/>
    <w:rsid w:val="006A73A8"/>
    <w:rsid w:val="006B6BE9"/>
    <w:rsid w:val="006C0D94"/>
    <w:rsid w:val="006E20F6"/>
    <w:rsid w:val="006E2E67"/>
    <w:rsid w:val="006E5AA3"/>
    <w:rsid w:val="006F184A"/>
    <w:rsid w:val="006F351D"/>
    <w:rsid w:val="0070244E"/>
    <w:rsid w:val="00702550"/>
    <w:rsid w:val="00705BB8"/>
    <w:rsid w:val="007159D4"/>
    <w:rsid w:val="00723406"/>
    <w:rsid w:val="00723831"/>
    <w:rsid w:val="00733C22"/>
    <w:rsid w:val="00734B92"/>
    <w:rsid w:val="007355BE"/>
    <w:rsid w:val="0073660D"/>
    <w:rsid w:val="00751722"/>
    <w:rsid w:val="00752933"/>
    <w:rsid w:val="00754F2F"/>
    <w:rsid w:val="00756A70"/>
    <w:rsid w:val="007710C0"/>
    <w:rsid w:val="00772C22"/>
    <w:rsid w:val="00776F11"/>
    <w:rsid w:val="007852BD"/>
    <w:rsid w:val="007855AF"/>
    <w:rsid w:val="00786BBF"/>
    <w:rsid w:val="007877CE"/>
    <w:rsid w:val="00793DF8"/>
    <w:rsid w:val="0079509C"/>
    <w:rsid w:val="007C14D4"/>
    <w:rsid w:val="007C293B"/>
    <w:rsid w:val="007C634D"/>
    <w:rsid w:val="007D7742"/>
    <w:rsid w:val="007F2DF3"/>
    <w:rsid w:val="007F3038"/>
    <w:rsid w:val="007F4F7E"/>
    <w:rsid w:val="007F552B"/>
    <w:rsid w:val="007F5EB8"/>
    <w:rsid w:val="00800F48"/>
    <w:rsid w:val="00801F85"/>
    <w:rsid w:val="008024FE"/>
    <w:rsid w:val="00802862"/>
    <w:rsid w:val="0080564D"/>
    <w:rsid w:val="00811464"/>
    <w:rsid w:val="00815043"/>
    <w:rsid w:val="00822A1E"/>
    <w:rsid w:val="00822E50"/>
    <w:rsid w:val="008241DC"/>
    <w:rsid w:val="0082468E"/>
    <w:rsid w:val="00825152"/>
    <w:rsid w:val="008457B3"/>
    <w:rsid w:val="008522B8"/>
    <w:rsid w:val="00855212"/>
    <w:rsid w:val="008614B6"/>
    <w:rsid w:val="0086438D"/>
    <w:rsid w:val="00871CFB"/>
    <w:rsid w:val="008767DA"/>
    <w:rsid w:val="0088513E"/>
    <w:rsid w:val="0089126F"/>
    <w:rsid w:val="00892473"/>
    <w:rsid w:val="0089781F"/>
    <w:rsid w:val="008A4646"/>
    <w:rsid w:val="008A6C15"/>
    <w:rsid w:val="008B20D7"/>
    <w:rsid w:val="008B621F"/>
    <w:rsid w:val="008B63B7"/>
    <w:rsid w:val="008B6A61"/>
    <w:rsid w:val="008C3435"/>
    <w:rsid w:val="008C5977"/>
    <w:rsid w:val="008D0CDA"/>
    <w:rsid w:val="008E083B"/>
    <w:rsid w:val="008E335F"/>
    <w:rsid w:val="008E6E6E"/>
    <w:rsid w:val="008F08DE"/>
    <w:rsid w:val="00905E32"/>
    <w:rsid w:val="009161A2"/>
    <w:rsid w:val="0092113E"/>
    <w:rsid w:val="00926851"/>
    <w:rsid w:val="009277DE"/>
    <w:rsid w:val="00954FCC"/>
    <w:rsid w:val="0096251C"/>
    <w:rsid w:val="00964A08"/>
    <w:rsid w:val="00972846"/>
    <w:rsid w:val="009764B1"/>
    <w:rsid w:val="009A39C6"/>
    <w:rsid w:val="009A79FE"/>
    <w:rsid w:val="009B077E"/>
    <w:rsid w:val="009B6C5C"/>
    <w:rsid w:val="009E5F49"/>
    <w:rsid w:val="009F05F9"/>
    <w:rsid w:val="009F258A"/>
    <w:rsid w:val="009F4C04"/>
    <w:rsid w:val="009F5279"/>
    <w:rsid w:val="009F67E2"/>
    <w:rsid w:val="00A018F9"/>
    <w:rsid w:val="00A05E67"/>
    <w:rsid w:val="00A13EC8"/>
    <w:rsid w:val="00A14868"/>
    <w:rsid w:val="00A15D0C"/>
    <w:rsid w:val="00A20098"/>
    <w:rsid w:val="00A20D36"/>
    <w:rsid w:val="00A241A6"/>
    <w:rsid w:val="00A27C6D"/>
    <w:rsid w:val="00A51AFC"/>
    <w:rsid w:val="00A52EB5"/>
    <w:rsid w:val="00A53A9C"/>
    <w:rsid w:val="00A547D1"/>
    <w:rsid w:val="00A577C1"/>
    <w:rsid w:val="00A620D6"/>
    <w:rsid w:val="00A62F88"/>
    <w:rsid w:val="00A7186C"/>
    <w:rsid w:val="00A74212"/>
    <w:rsid w:val="00A756B1"/>
    <w:rsid w:val="00A93ABF"/>
    <w:rsid w:val="00AA2E84"/>
    <w:rsid w:val="00AA3CC9"/>
    <w:rsid w:val="00AA788C"/>
    <w:rsid w:val="00AD3A56"/>
    <w:rsid w:val="00AD7135"/>
    <w:rsid w:val="00AE37C5"/>
    <w:rsid w:val="00AE480C"/>
    <w:rsid w:val="00AE73E9"/>
    <w:rsid w:val="00B161BF"/>
    <w:rsid w:val="00B222ED"/>
    <w:rsid w:val="00B30109"/>
    <w:rsid w:val="00B356BD"/>
    <w:rsid w:val="00B555E4"/>
    <w:rsid w:val="00B577EA"/>
    <w:rsid w:val="00B83317"/>
    <w:rsid w:val="00B919A2"/>
    <w:rsid w:val="00B9208E"/>
    <w:rsid w:val="00BA5A72"/>
    <w:rsid w:val="00BA6799"/>
    <w:rsid w:val="00BD479E"/>
    <w:rsid w:val="00BE6FC3"/>
    <w:rsid w:val="00BF2BE3"/>
    <w:rsid w:val="00BF74CC"/>
    <w:rsid w:val="00C02639"/>
    <w:rsid w:val="00C0310F"/>
    <w:rsid w:val="00C1071F"/>
    <w:rsid w:val="00C11980"/>
    <w:rsid w:val="00C12014"/>
    <w:rsid w:val="00C17309"/>
    <w:rsid w:val="00C216EB"/>
    <w:rsid w:val="00C3719B"/>
    <w:rsid w:val="00C37792"/>
    <w:rsid w:val="00C56828"/>
    <w:rsid w:val="00C629B6"/>
    <w:rsid w:val="00C65E61"/>
    <w:rsid w:val="00C73FE6"/>
    <w:rsid w:val="00C82B86"/>
    <w:rsid w:val="00CA0065"/>
    <w:rsid w:val="00CA12E1"/>
    <w:rsid w:val="00CA43F2"/>
    <w:rsid w:val="00CA5BB1"/>
    <w:rsid w:val="00CA6A4A"/>
    <w:rsid w:val="00CA76AC"/>
    <w:rsid w:val="00CB5CBD"/>
    <w:rsid w:val="00CC2504"/>
    <w:rsid w:val="00CC3328"/>
    <w:rsid w:val="00CC4768"/>
    <w:rsid w:val="00CC5D5A"/>
    <w:rsid w:val="00CC6B58"/>
    <w:rsid w:val="00CD535E"/>
    <w:rsid w:val="00CD5B02"/>
    <w:rsid w:val="00CF2DD9"/>
    <w:rsid w:val="00CF3A4E"/>
    <w:rsid w:val="00CF5236"/>
    <w:rsid w:val="00CF68D6"/>
    <w:rsid w:val="00CF788E"/>
    <w:rsid w:val="00D1287D"/>
    <w:rsid w:val="00D16035"/>
    <w:rsid w:val="00D16724"/>
    <w:rsid w:val="00D212BD"/>
    <w:rsid w:val="00D24F7C"/>
    <w:rsid w:val="00D26421"/>
    <w:rsid w:val="00D273C4"/>
    <w:rsid w:val="00D339A9"/>
    <w:rsid w:val="00D43365"/>
    <w:rsid w:val="00D512E2"/>
    <w:rsid w:val="00D5423B"/>
    <w:rsid w:val="00D56C9A"/>
    <w:rsid w:val="00D6104C"/>
    <w:rsid w:val="00D82763"/>
    <w:rsid w:val="00DC3D02"/>
    <w:rsid w:val="00DE434C"/>
    <w:rsid w:val="00DE437B"/>
    <w:rsid w:val="00DF0AAB"/>
    <w:rsid w:val="00DF50F4"/>
    <w:rsid w:val="00DF60C7"/>
    <w:rsid w:val="00DF6994"/>
    <w:rsid w:val="00DF6AF5"/>
    <w:rsid w:val="00E0768D"/>
    <w:rsid w:val="00E127FC"/>
    <w:rsid w:val="00E13268"/>
    <w:rsid w:val="00E20A14"/>
    <w:rsid w:val="00E20E71"/>
    <w:rsid w:val="00E21D5F"/>
    <w:rsid w:val="00E30AD9"/>
    <w:rsid w:val="00E43565"/>
    <w:rsid w:val="00E43BE5"/>
    <w:rsid w:val="00E55F63"/>
    <w:rsid w:val="00E632A6"/>
    <w:rsid w:val="00E6339F"/>
    <w:rsid w:val="00E6759D"/>
    <w:rsid w:val="00E728BC"/>
    <w:rsid w:val="00E77536"/>
    <w:rsid w:val="00E91861"/>
    <w:rsid w:val="00E91CF5"/>
    <w:rsid w:val="00EA1CD6"/>
    <w:rsid w:val="00EA2BC2"/>
    <w:rsid w:val="00EA3092"/>
    <w:rsid w:val="00EA5FBA"/>
    <w:rsid w:val="00EB00EB"/>
    <w:rsid w:val="00EC2A39"/>
    <w:rsid w:val="00EE6C84"/>
    <w:rsid w:val="00EF02FB"/>
    <w:rsid w:val="00EF7DFA"/>
    <w:rsid w:val="00F0111E"/>
    <w:rsid w:val="00F03287"/>
    <w:rsid w:val="00F04141"/>
    <w:rsid w:val="00F044B9"/>
    <w:rsid w:val="00F06BE4"/>
    <w:rsid w:val="00F07AED"/>
    <w:rsid w:val="00F13CAF"/>
    <w:rsid w:val="00F20E1B"/>
    <w:rsid w:val="00F23B73"/>
    <w:rsid w:val="00F24229"/>
    <w:rsid w:val="00F4297C"/>
    <w:rsid w:val="00F52EC0"/>
    <w:rsid w:val="00F5325D"/>
    <w:rsid w:val="00F62197"/>
    <w:rsid w:val="00F638A6"/>
    <w:rsid w:val="00F643DD"/>
    <w:rsid w:val="00F670DE"/>
    <w:rsid w:val="00F72DD5"/>
    <w:rsid w:val="00F768F4"/>
    <w:rsid w:val="00F8117E"/>
    <w:rsid w:val="00F81CA5"/>
    <w:rsid w:val="00F93586"/>
    <w:rsid w:val="00FA67E4"/>
    <w:rsid w:val="00FA7419"/>
    <w:rsid w:val="00FB067C"/>
    <w:rsid w:val="00FC338B"/>
    <w:rsid w:val="00FC3AE4"/>
    <w:rsid w:val="00FD3D6D"/>
    <w:rsid w:val="00FD461F"/>
    <w:rsid w:val="00FD4A1A"/>
    <w:rsid w:val="00FE3DCC"/>
    <w:rsid w:val="00FF18EC"/>
    <w:rsid w:val="00FF7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14868"/>
    <w:pPr>
      <w:keepNext/>
      <w:numPr>
        <w:numId w:val="1"/>
      </w:numPr>
      <w:spacing w:before="240" w:after="60"/>
      <w:outlineLvl w:val="0"/>
    </w:pPr>
    <w:rPr>
      <w:rFonts w:ascii="Arial" w:hAnsi="Arial"/>
      <w:b/>
      <w:bCs/>
      <w:color w:val="87992D"/>
      <w:kern w:val="32"/>
      <w:sz w:val="30"/>
      <w:szCs w:val="32"/>
    </w:rPr>
  </w:style>
  <w:style w:type="paragraph" w:styleId="Heading2">
    <w:name w:val="heading 2"/>
    <w:basedOn w:val="Normal"/>
    <w:next w:val="Normal"/>
    <w:link w:val="Heading2Char"/>
    <w:qFormat/>
    <w:rsid w:val="00A14868"/>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qFormat/>
    <w:rsid w:val="00A14868"/>
    <w:pPr>
      <w:keepNext/>
      <w:numPr>
        <w:ilvl w:val="2"/>
        <w:numId w:val="1"/>
      </w:numPr>
      <w:spacing w:before="240" w:after="60"/>
      <w:outlineLvl w:val="2"/>
    </w:pPr>
    <w:rPr>
      <w:rFonts w:ascii="Arial" w:hAnsi="Arial"/>
      <w:b/>
      <w:bCs/>
      <w:sz w:val="21"/>
      <w:szCs w:val="26"/>
    </w:rPr>
  </w:style>
  <w:style w:type="paragraph" w:styleId="Heading4">
    <w:name w:val="heading 4"/>
    <w:basedOn w:val="Normal"/>
    <w:next w:val="Normal"/>
    <w:link w:val="Heading4Char"/>
    <w:qFormat/>
    <w:rsid w:val="00A14868"/>
    <w:pPr>
      <w:keepNext/>
      <w:numPr>
        <w:ilvl w:val="3"/>
        <w:numId w:val="1"/>
      </w:numPr>
      <w:spacing w:before="240" w:after="60"/>
      <w:outlineLvl w:val="3"/>
    </w:pPr>
    <w:rPr>
      <w:rFonts w:ascii="Arial" w:hAnsi="Arial"/>
      <w:bCs/>
      <w:szCs w:val="28"/>
    </w:rPr>
  </w:style>
  <w:style w:type="paragraph" w:styleId="Heading5">
    <w:name w:val="heading 5"/>
    <w:basedOn w:val="Normal"/>
    <w:next w:val="Normal"/>
    <w:link w:val="Heading5Char"/>
    <w:qFormat/>
    <w:rsid w:val="00A14868"/>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A14868"/>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A14868"/>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A14868"/>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A14868"/>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868"/>
    <w:rPr>
      <w:rFonts w:ascii="Arial" w:eastAsia="Times New Roman" w:hAnsi="Arial" w:cs="Times New Roman"/>
      <w:b/>
      <w:bCs/>
      <w:color w:val="87992D"/>
      <w:kern w:val="32"/>
      <w:sz w:val="30"/>
      <w:szCs w:val="32"/>
      <w:lang w:val="en-US"/>
    </w:rPr>
  </w:style>
  <w:style w:type="character" w:customStyle="1" w:styleId="Heading2Char">
    <w:name w:val="Heading 2 Char"/>
    <w:basedOn w:val="DefaultParagraphFont"/>
    <w:link w:val="Heading2"/>
    <w:rsid w:val="00A14868"/>
    <w:rPr>
      <w:rFonts w:ascii="Arial" w:eastAsia="Times New Roman" w:hAnsi="Arial" w:cs="Times New Roman"/>
      <w:b/>
      <w:bCs/>
      <w:iCs/>
      <w:sz w:val="24"/>
      <w:szCs w:val="28"/>
      <w:lang w:val="en-US"/>
    </w:rPr>
  </w:style>
  <w:style w:type="character" w:customStyle="1" w:styleId="Heading3Char">
    <w:name w:val="Heading 3 Char"/>
    <w:basedOn w:val="DefaultParagraphFont"/>
    <w:link w:val="Heading3"/>
    <w:rsid w:val="00A14868"/>
    <w:rPr>
      <w:rFonts w:ascii="Arial" w:eastAsia="Times New Roman" w:hAnsi="Arial" w:cs="Times New Roman"/>
      <w:b/>
      <w:bCs/>
      <w:sz w:val="21"/>
      <w:szCs w:val="26"/>
      <w:lang w:val="en-US"/>
    </w:rPr>
  </w:style>
  <w:style w:type="character" w:customStyle="1" w:styleId="Heading4Char">
    <w:name w:val="Heading 4 Char"/>
    <w:basedOn w:val="DefaultParagraphFont"/>
    <w:link w:val="Heading4"/>
    <w:rsid w:val="00A14868"/>
    <w:rPr>
      <w:rFonts w:ascii="Arial" w:eastAsia="Times New Roman" w:hAnsi="Arial" w:cs="Times New Roman"/>
      <w:bCs/>
      <w:sz w:val="24"/>
      <w:szCs w:val="28"/>
      <w:lang w:val="en-US"/>
    </w:rPr>
  </w:style>
  <w:style w:type="character" w:customStyle="1" w:styleId="Heading5Char">
    <w:name w:val="Heading 5 Char"/>
    <w:basedOn w:val="DefaultParagraphFont"/>
    <w:link w:val="Heading5"/>
    <w:rsid w:val="00A14868"/>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rsid w:val="00A14868"/>
    <w:rPr>
      <w:rFonts w:ascii="Cambria" w:eastAsia="Times New Roman" w:hAnsi="Cambria" w:cs="Times New Roman"/>
      <w:b/>
      <w:bCs/>
      <w:lang w:val="en-US"/>
    </w:rPr>
  </w:style>
  <w:style w:type="character" w:customStyle="1" w:styleId="Heading7Char">
    <w:name w:val="Heading 7 Char"/>
    <w:basedOn w:val="DefaultParagraphFont"/>
    <w:link w:val="Heading7"/>
    <w:rsid w:val="00A14868"/>
    <w:rPr>
      <w:rFonts w:ascii="Cambria" w:eastAsia="Times New Roman" w:hAnsi="Cambria" w:cs="Times New Roman"/>
      <w:sz w:val="24"/>
      <w:szCs w:val="24"/>
      <w:lang w:val="en-US"/>
    </w:rPr>
  </w:style>
  <w:style w:type="character" w:customStyle="1" w:styleId="Heading8Char">
    <w:name w:val="Heading 8 Char"/>
    <w:basedOn w:val="DefaultParagraphFont"/>
    <w:link w:val="Heading8"/>
    <w:rsid w:val="00A14868"/>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rsid w:val="00A14868"/>
    <w:rPr>
      <w:rFonts w:ascii="Calibri" w:eastAsia="Times New Roman" w:hAnsi="Calibri" w:cs="Times New Roman"/>
      <w:lang w:val="en-US"/>
    </w:rPr>
  </w:style>
  <w:style w:type="paragraph" w:styleId="BodyText">
    <w:name w:val="Body Text"/>
    <w:aliases w:val="Title Footer"/>
    <w:link w:val="BodyTextChar"/>
    <w:rsid w:val="00A14868"/>
    <w:pPr>
      <w:spacing w:after="120" w:line="264" w:lineRule="auto"/>
    </w:pPr>
    <w:rPr>
      <w:rFonts w:ascii="Arial" w:eastAsia="Times New Roman" w:hAnsi="Arial" w:cs="Times New Roman"/>
      <w:sz w:val="21"/>
      <w:szCs w:val="24"/>
      <w:lang w:val="en-US"/>
    </w:rPr>
  </w:style>
  <w:style w:type="character" w:customStyle="1" w:styleId="BodyTextChar">
    <w:name w:val="Body Text Char"/>
    <w:aliases w:val="Title Footer Char"/>
    <w:basedOn w:val="DefaultParagraphFont"/>
    <w:link w:val="BodyText"/>
    <w:rsid w:val="00A14868"/>
    <w:rPr>
      <w:rFonts w:ascii="Arial" w:eastAsia="Times New Roman" w:hAnsi="Arial" w:cs="Times New Roman"/>
      <w:sz w:val="21"/>
      <w:szCs w:val="24"/>
      <w:lang w:val="en-US"/>
    </w:rPr>
  </w:style>
  <w:style w:type="paragraph" w:styleId="Header">
    <w:name w:val="header"/>
    <w:basedOn w:val="Normal"/>
    <w:link w:val="HeaderChar"/>
    <w:uiPriority w:val="99"/>
    <w:rsid w:val="00A14868"/>
    <w:pPr>
      <w:tabs>
        <w:tab w:val="center" w:pos="4320"/>
        <w:tab w:val="right" w:pos="8640"/>
      </w:tabs>
    </w:pPr>
  </w:style>
  <w:style w:type="character" w:customStyle="1" w:styleId="HeaderChar">
    <w:name w:val="Header Char"/>
    <w:basedOn w:val="DefaultParagraphFont"/>
    <w:link w:val="Header"/>
    <w:uiPriority w:val="99"/>
    <w:rsid w:val="00A14868"/>
    <w:rPr>
      <w:rFonts w:ascii="Times New Roman" w:eastAsia="Times New Roman" w:hAnsi="Times New Roman" w:cs="Times New Roman"/>
      <w:sz w:val="24"/>
      <w:szCs w:val="24"/>
    </w:rPr>
  </w:style>
  <w:style w:type="paragraph" w:styleId="Footer">
    <w:name w:val="footer"/>
    <w:basedOn w:val="Normal"/>
    <w:link w:val="FooterChar"/>
    <w:uiPriority w:val="99"/>
    <w:rsid w:val="00A14868"/>
    <w:pPr>
      <w:tabs>
        <w:tab w:val="center" w:pos="4320"/>
        <w:tab w:val="right" w:pos="8640"/>
      </w:tabs>
    </w:pPr>
  </w:style>
  <w:style w:type="character" w:customStyle="1" w:styleId="FooterChar">
    <w:name w:val="Footer Char"/>
    <w:basedOn w:val="DefaultParagraphFont"/>
    <w:link w:val="Footer"/>
    <w:uiPriority w:val="99"/>
    <w:rsid w:val="00A14868"/>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A14868"/>
    <w:pPr>
      <w:tabs>
        <w:tab w:val="left" w:pos="507"/>
        <w:tab w:val="left" w:pos="567"/>
        <w:tab w:val="left" w:leader="dot" w:pos="6804"/>
      </w:tabs>
      <w:spacing w:before="360" w:after="120"/>
    </w:pPr>
    <w:rPr>
      <w:rFonts w:ascii="Arial" w:hAnsi="Arial"/>
      <w:b/>
      <w:color w:val="87992D"/>
      <w:sz w:val="30"/>
    </w:rPr>
  </w:style>
  <w:style w:type="paragraph" w:customStyle="1" w:styleId="DocumentTitle">
    <w:name w:val="Document Title"/>
    <w:next w:val="Titledescription"/>
    <w:rsid w:val="00A14868"/>
    <w:pPr>
      <w:spacing w:after="960" w:line="240" w:lineRule="auto"/>
    </w:pPr>
    <w:rPr>
      <w:rFonts w:ascii="Arial" w:eastAsia="Times New Roman" w:hAnsi="Arial" w:cs="Times New Roman"/>
      <w:b/>
      <w:color w:val="87992D"/>
      <w:spacing w:val="-10"/>
      <w:sz w:val="92"/>
      <w:szCs w:val="24"/>
      <w:lang w:val="en-US"/>
    </w:rPr>
  </w:style>
  <w:style w:type="paragraph" w:customStyle="1" w:styleId="Titledescription">
    <w:name w:val="Title description"/>
    <w:rsid w:val="00A14868"/>
    <w:pPr>
      <w:spacing w:after="0" w:line="240" w:lineRule="auto"/>
    </w:pPr>
    <w:rPr>
      <w:rFonts w:ascii="Arial" w:eastAsia="Times New Roman" w:hAnsi="Arial" w:cs="Times New Roman"/>
      <w:sz w:val="54"/>
      <w:szCs w:val="24"/>
      <w:lang w:val="en-US"/>
    </w:rPr>
  </w:style>
  <w:style w:type="paragraph" w:customStyle="1" w:styleId="PageHeading1">
    <w:name w:val="Page Heading 1"/>
    <w:rsid w:val="00A14868"/>
    <w:pPr>
      <w:spacing w:after="0" w:line="240" w:lineRule="auto"/>
    </w:pPr>
    <w:rPr>
      <w:rFonts w:ascii="Arial" w:eastAsia="Times New Roman" w:hAnsi="Arial" w:cs="Times New Roman"/>
      <w:color w:val="145D52"/>
      <w:sz w:val="48"/>
      <w:szCs w:val="24"/>
      <w:lang w:val="en-US"/>
    </w:rPr>
  </w:style>
  <w:style w:type="paragraph" w:customStyle="1" w:styleId="PageHeadingContents">
    <w:name w:val="Page Heading Contents"/>
    <w:basedOn w:val="PageHeading1"/>
    <w:rsid w:val="00A14868"/>
    <w:pPr>
      <w:spacing w:after="960"/>
    </w:pPr>
  </w:style>
  <w:style w:type="paragraph" w:styleId="TOC2">
    <w:name w:val="toc 2"/>
    <w:basedOn w:val="Normal"/>
    <w:next w:val="Normal"/>
    <w:autoRedefine/>
    <w:uiPriority w:val="39"/>
    <w:rsid w:val="00A14868"/>
    <w:pPr>
      <w:tabs>
        <w:tab w:val="left" w:pos="1134"/>
        <w:tab w:val="left" w:pos="6834"/>
      </w:tabs>
      <w:ind w:left="567" w:right="2770"/>
    </w:pPr>
    <w:rPr>
      <w:rFonts w:ascii="Arial" w:hAnsi="Arial"/>
      <w:sz w:val="21"/>
    </w:rPr>
  </w:style>
  <w:style w:type="paragraph" w:styleId="TOC3">
    <w:name w:val="toc 3"/>
    <w:basedOn w:val="Normal"/>
    <w:next w:val="Normal"/>
    <w:autoRedefine/>
    <w:uiPriority w:val="39"/>
    <w:rsid w:val="002F1C95"/>
    <w:pPr>
      <w:tabs>
        <w:tab w:val="left" w:pos="1985"/>
        <w:tab w:val="right" w:pos="7088"/>
      </w:tabs>
      <w:ind w:left="1134"/>
    </w:pPr>
    <w:rPr>
      <w:rFonts w:ascii="Arial" w:hAnsi="Arial"/>
      <w:noProof/>
      <w:sz w:val="22"/>
      <w:szCs w:val="22"/>
    </w:rPr>
  </w:style>
  <w:style w:type="paragraph" w:styleId="TOC4">
    <w:name w:val="toc 4"/>
    <w:basedOn w:val="Normal"/>
    <w:next w:val="Normal"/>
    <w:autoRedefine/>
    <w:semiHidden/>
    <w:rsid w:val="00A14868"/>
    <w:pPr>
      <w:ind w:left="720"/>
    </w:pPr>
  </w:style>
  <w:style w:type="paragraph" w:styleId="TOC5">
    <w:name w:val="toc 5"/>
    <w:basedOn w:val="Normal"/>
    <w:next w:val="Normal"/>
    <w:autoRedefine/>
    <w:semiHidden/>
    <w:rsid w:val="00A14868"/>
    <w:pPr>
      <w:ind w:left="960"/>
    </w:pPr>
  </w:style>
  <w:style w:type="paragraph" w:styleId="TOC6">
    <w:name w:val="toc 6"/>
    <w:basedOn w:val="Normal"/>
    <w:next w:val="Normal"/>
    <w:autoRedefine/>
    <w:semiHidden/>
    <w:rsid w:val="00A14868"/>
    <w:pPr>
      <w:ind w:left="1200"/>
    </w:pPr>
  </w:style>
  <w:style w:type="paragraph" w:styleId="TOC7">
    <w:name w:val="toc 7"/>
    <w:basedOn w:val="Normal"/>
    <w:next w:val="Normal"/>
    <w:autoRedefine/>
    <w:semiHidden/>
    <w:rsid w:val="00A14868"/>
    <w:pPr>
      <w:ind w:left="1440"/>
    </w:pPr>
  </w:style>
  <w:style w:type="paragraph" w:styleId="TOC8">
    <w:name w:val="toc 8"/>
    <w:basedOn w:val="Normal"/>
    <w:next w:val="Normal"/>
    <w:autoRedefine/>
    <w:semiHidden/>
    <w:rsid w:val="00A14868"/>
    <w:pPr>
      <w:ind w:left="1680"/>
    </w:pPr>
  </w:style>
  <w:style w:type="paragraph" w:styleId="TOC9">
    <w:name w:val="toc 9"/>
    <w:basedOn w:val="Normal"/>
    <w:next w:val="Normal"/>
    <w:autoRedefine/>
    <w:semiHidden/>
    <w:rsid w:val="00A14868"/>
    <w:pPr>
      <w:ind w:left="1920"/>
    </w:pPr>
  </w:style>
  <w:style w:type="character" w:styleId="PageNumber">
    <w:name w:val="page number"/>
    <w:basedOn w:val="DefaultParagraphFont"/>
    <w:uiPriority w:val="99"/>
    <w:semiHidden/>
    <w:unhideWhenUsed/>
    <w:rsid w:val="00A14868"/>
  </w:style>
  <w:style w:type="paragraph" w:customStyle="1" w:styleId="BasicParagraph">
    <w:name w:val="[Basic Paragraph]"/>
    <w:basedOn w:val="Normal"/>
    <w:rsid w:val="00A14868"/>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PageHeading2">
    <w:name w:val="Page Heading 2"/>
    <w:basedOn w:val="PageHeading1"/>
    <w:rsid w:val="00A14868"/>
    <w:pPr>
      <w:spacing w:after="720"/>
    </w:pPr>
    <w:rPr>
      <w:color w:val="7F8D32"/>
      <w:sz w:val="36"/>
    </w:rPr>
  </w:style>
  <w:style w:type="paragraph" w:customStyle="1" w:styleId="IntroText">
    <w:name w:val="Intro Text"/>
    <w:rsid w:val="00A14868"/>
    <w:pPr>
      <w:spacing w:after="360" w:line="240" w:lineRule="auto"/>
    </w:pPr>
    <w:rPr>
      <w:rFonts w:ascii="Arial" w:eastAsia="Times New Roman" w:hAnsi="Arial" w:cs="Times New Roman"/>
      <w:sz w:val="28"/>
      <w:szCs w:val="24"/>
      <w:lang w:val="en-US"/>
    </w:rPr>
  </w:style>
  <w:style w:type="paragraph" w:styleId="ListBullet">
    <w:name w:val="List Bullet"/>
    <w:aliases w:val="Bullet 2"/>
    <w:basedOn w:val="Normal"/>
    <w:next w:val="List2"/>
    <w:rsid w:val="00A14868"/>
    <w:pPr>
      <w:spacing w:after="120" w:line="264" w:lineRule="auto"/>
      <w:ind w:left="709" w:hanging="357"/>
      <w:contextualSpacing/>
    </w:pPr>
    <w:rPr>
      <w:rFonts w:ascii="Arial" w:hAnsi="Arial"/>
      <w:sz w:val="21"/>
    </w:rPr>
  </w:style>
  <w:style w:type="paragraph" w:styleId="List2">
    <w:name w:val="List 2"/>
    <w:basedOn w:val="Normal"/>
    <w:rsid w:val="00A14868"/>
    <w:pPr>
      <w:ind w:left="566" w:hanging="283"/>
      <w:contextualSpacing/>
    </w:pPr>
  </w:style>
  <w:style w:type="paragraph" w:customStyle="1" w:styleId="Bullet1">
    <w:name w:val="Bullet 1"/>
    <w:qFormat/>
    <w:rsid w:val="00A14868"/>
    <w:pPr>
      <w:spacing w:after="0" w:line="240" w:lineRule="auto"/>
      <w:ind w:left="425" w:hanging="425"/>
    </w:pPr>
    <w:rPr>
      <w:rFonts w:ascii="Arial" w:eastAsia="Times New Roman" w:hAnsi="Arial" w:cs="Times New Roman"/>
      <w:sz w:val="21"/>
      <w:szCs w:val="24"/>
      <w:lang w:val="en-US"/>
    </w:rPr>
  </w:style>
  <w:style w:type="paragraph" w:customStyle="1" w:styleId="Titlepagefooter">
    <w:name w:val="Title page footer"/>
    <w:basedOn w:val="Normal"/>
    <w:qFormat/>
    <w:rsid w:val="00A14868"/>
    <w:rPr>
      <w:rFonts w:ascii="Arial" w:hAnsi="Arial"/>
      <w:sz w:val="21"/>
    </w:rPr>
  </w:style>
  <w:style w:type="table" w:styleId="TableGrid">
    <w:name w:val="Table Grid"/>
    <w:basedOn w:val="TableNormal"/>
    <w:rsid w:val="00A148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86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A14868"/>
    <w:pPr>
      <w:spacing w:after="200" w:line="276" w:lineRule="auto"/>
      <w:ind w:left="720"/>
      <w:contextualSpacing/>
    </w:pPr>
    <w:rPr>
      <w:rFonts w:ascii="Calibri" w:eastAsia="Calibri" w:hAnsi="Calibri"/>
      <w:sz w:val="22"/>
      <w:szCs w:val="22"/>
    </w:rPr>
  </w:style>
  <w:style w:type="character" w:styleId="FootnoteReference">
    <w:name w:val="footnote reference"/>
    <w:uiPriority w:val="99"/>
    <w:unhideWhenUsed/>
    <w:rsid w:val="00A14868"/>
    <w:rPr>
      <w:vertAlign w:val="superscript"/>
    </w:rPr>
  </w:style>
  <w:style w:type="character" w:customStyle="1" w:styleId="Bold">
    <w:name w:val="Bold"/>
    <w:rsid w:val="00A14868"/>
    <w:rPr>
      <w:b/>
    </w:rPr>
  </w:style>
  <w:style w:type="table" w:styleId="LightList-Accent3">
    <w:name w:val="Light List Accent 3"/>
    <w:basedOn w:val="TableNormal"/>
    <w:uiPriority w:val="61"/>
    <w:rsid w:val="00A1486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rsid w:val="00A1486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ocialProfileNormal">
    <w:name w:val="Social Profile Normal"/>
    <w:link w:val="SocialProfileNormalChar"/>
    <w:qFormat/>
    <w:rsid w:val="00A14868"/>
    <w:pPr>
      <w:spacing w:before="120" w:after="0" w:line="280" w:lineRule="exact"/>
      <w:jc w:val="both"/>
    </w:pPr>
    <w:rPr>
      <w:rFonts w:ascii="Times New Roman" w:eastAsia="Calibri" w:hAnsi="Times New Roman" w:cs="Times New Roman"/>
      <w:sz w:val="24"/>
      <w:lang w:val="en-US"/>
    </w:rPr>
  </w:style>
  <w:style w:type="character" w:customStyle="1" w:styleId="SocialProfileNormalChar">
    <w:name w:val="Social Profile Normal Char"/>
    <w:link w:val="SocialProfileNormal"/>
    <w:rsid w:val="00A14868"/>
    <w:rPr>
      <w:rFonts w:ascii="Times New Roman" w:eastAsia="Calibri" w:hAnsi="Times New Roman" w:cs="Times New Roman"/>
      <w:sz w:val="24"/>
      <w:lang w:val="en-US"/>
    </w:rPr>
  </w:style>
  <w:style w:type="paragraph" w:styleId="FootnoteText">
    <w:name w:val="footnote text"/>
    <w:basedOn w:val="Normal"/>
    <w:link w:val="FootnoteTextChar"/>
    <w:uiPriority w:val="99"/>
    <w:unhideWhenUsed/>
    <w:rsid w:val="00A14868"/>
    <w:rPr>
      <w:rFonts w:ascii="Calibri" w:eastAsia="Calibri" w:hAnsi="Calibri"/>
      <w:sz w:val="20"/>
      <w:szCs w:val="20"/>
    </w:rPr>
  </w:style>
  <w:style w:type="character" w:customStyle="1" w:styleId="FootnoteTextChar">
    <w:name w:val="Footnote Text Char"/>
    <w:basedOn w:val="DefaultParagraphFont"/>
    <w:link w:val="FootnoteText"/>
    <w:uiPriority w:val="99"/>
    <w:rsid w:val="00A14868"/>
    <w:rPr>
      <w:rFonts w:ascii="Calibri" w:eastAsia="Calibri" w:hAnsi="Calibri" w:cs="Times New Roman"/>
      <w:sz w:val="20"/>
      <w:szCs w:val="20"/>
      <w:lang w:val="en-US"/>
    </w:rPr>
  </w:style>
  <w:style w:type="character" w:styleId="CommentReference">
    <w:name w:val="annotation reference"/>
    <w:rsid w:val="00A14868"/>
    <w:rPr>
      <w:sz w:val="16"/>
      <w:szCs w:val="16"/>
    </w:rPr>
  </w:style>
  <w:style w:type="paragraph" w:styleId="CommentText">
    <w:name w:val="annotation text"/>
    <w:basedOn w:val="Normal"/>
    <w:link w:val="CommentTextChar"/>
    <w:rsid w:val="00A14868"/>
    <w:rPr>
      <w:sz w:val="20"/>
      <w:szCs w:val="20"/>
    </w:rPr>
  </w:style>
  <w:style w:type="character" w:customStyle="1" w:styleId="CommentTextChar">
    <w:name w:val="Comment Text Char"/>
    <w:basedOn w:val="DefaultParagraphFont"/>
    <w:link w:val="CommentText"/>
    <w:rsid w:val="00A1486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14868"/>
    <w:rPr>
      <w:b/>
      <w:bCs/>
    </w:rPr>
  </w:style>
  <w:style w:type="character" w:customStyle="1" w:styleId="CommentSubjectChar">
    <w:name w:val="Comment Subject Char"/>
    <w:basedOn w:val="CommentTextChar"/>
    <w:link w:val="CommentSubject"/>
    <w:rsid w:val="00A1486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A14868"/>
    <w:rPr>
      <w:rFonts w:ascii="Tahoma" w:hAnsi="Tahoma"/>
      <w:sz w:val="16"/>
      <w:szCs w:val="16"/>
    </w:rPr>
  </w:style>
  <w:style w:type="character" w:customStyle="1" w:styleId="BalloonTextChar">
    <w:name w:val="Balloon Text Char"/>
    <w:basedOn w:val="DefaultParagraphFont"/>
    <w:link w:val="BalloonText"/>
    <w:rsid w:val="00A14868"/>
    <w:rPr>
      <w:rFonts w:ascii="Tahoma" w:eastAsia="Times New Roman" w:hAnsi="Tahoma" w:cs="Times New Roman"/>
      <w:sz w:val="16"/>
      <w:szCs w:val="16"/>
      <w:lang w:val="en-US"/>
    </w:rPr>
  </w:style>
  <w:style w:type="paragraph" w:styleId="NormalWeb">
    <w:name w:val="Normal (Web)"/>
    <w:basedOn w:val="Normal"/>
    <w:uiPriority w:val="99"/>
    <w:unhideWhenUsed/>
    <w:rsid w:val="00A14868"/>
    <w:pPr>
      <w:spacing w:before="100" w:beforeAutospacing="1" w:after="100" w:afterAutospacing="1"/>
    </w:pPr>
    <w:rPr>
      <w:color w:val="000000"/>
      <w:lang w:val="en-AU" w:eastAsia="en-AU"/>
    </w:rPr>
  </w:style>
  <w:style w:type="paragraph" w:styleId="Revision">
    <w:name w:val="Revision"/>
    <w:hidden/>
    <w:rsid w:val="00A14868"/>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rsid w:val="00A14868"/>
    <w:rPr>
      <w:color w:val="0000FF"/>
      <w:u w:val="single"/>
    </w:rPr>
  </w:style>
  <w:style w:type="character" w:styleId="FollowedHyperlink">
    <w:name w:val="FollowedHyperlink"/>
    <w:rsid w:val="00A14868"/>
    <w:rPr>
      <w:color w:val="800080"/>
      <w:u w:val="single"/>
    </w:rPr>
  </w:style>
  <w:style w:type="paragraph" w:customStyle="1" w:styleId="TableText">
    <w:name w:val="Table Text"/>
    <w:basedOn w:val="Normal"/>
    <w:link w:val="TableTextChar"/>
    <w:uiPriority w:val="99"/>
    <w:rsid w:val="00E20A14"/>
    <w:pPr>
      <w:spacing w:before="20" w:after="20"/>
    </w:pPr>
    <w:rPr>
      <w:rFonts w:ascii="Calibri" w:hAnsi="Calibri"/>
      <w:sz w:val="22"/>
      <w:szCs w:val="20"/>
      <w:lang w:val="en-AU" w:eastAsia="en-AU"/>
    </w:rPr>
  </w:style>
  <w:style w:type="character" w:customStyle="1" w:styleId="TableTextChar">
    <w:name w:val="Table Text Char"/>
    <w:link w:val="TableText"/>
    <w:uiPriority w:val="99"/>
    <w:locked/>
    <w:rsid w:val="00E20A14"/>
    <w:rPr>
      <w:rFonts w:ascii="Calibri" w:eastAsia="Times New Roman" w:hAnsi="Calibri" w:cs="Times New Roman"/>
      <w:szCs w:val="20"/>
      <w:lang w:eastAsia="en-AU"/>
    </w:rPr>
  </w:style>
  <w:style w:type="character" w:styleId="Strong">
    <w:name w:val="Strong"/>
    <w:basedOn w:val="DefaultParagraphFont"/>
    <w:uiPriority w:val="22"/>
    <w:qFormat/>
    <w:rsid w:val="00113AD2"/>
    <w:rPr>
      <w:b/>
      <w:bCs/>
    </w:rPr>
  </w:style>
  <w:style w:type="character" w:customStyle="1" w:styleId="apple-converted-space">
    <w:name w:val="apple-converted-space"/>
    <w:basedOn w:val="DefaultParagraphFont"/>
    <w:rsid w:val="00F6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14868"/>
    <w:pPr>
      <w:keepNext/>
      <w:numPr>
        <w:numId w:val="1"/>
      </w:numPr>
      <w:spacing w:before="240" w:after="60"/>
      <w:outlineLvl w:val="0"/>
    </w:pPr>
    <w:rPr>
      <w:rFonts w:ascii="Arial" w:hAnsi="Arial"/>
      <w:b/>
      <w:bCs/>
      <w:color w:val="87992D"/>
      <w:kern w:val="32"/>
      <w:sz w:val="30"/>
      <w:szCs w:val="32"/>
    </w:rPr>
  </w:style>
  <w:style w:type="paragraph" w:styleId="Heading2">
    <w:name w:val="heading 2"/>
    <w:basedOn w:val="Normal"/>
    <w:next w:val="Normal"/>
    <w:link w:val="Heading2Char"/>
    <w:qFormat/>
    <w:rsid w:val="00A14868"/>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qFormat/>
    <w:rsid w:val="00A14868"/>
    <w:pPr>
      <w:keepNext/>
      <w:numPr>
        <w:ilvl w:val="2"/>
        <w:numId w:val="1"/>
      </w:numPr>
      <w:spacing w:before="240" w:after="60"/>
      <w:outlineLvl w:val="2"/>
    </w:pPr>
    <w:rPr>
      <w:rFonts w:ascii="Arial" w:hAnsi="Arial"/>
      <w:b/>
      <w:bCs/>
      <w:sz w:val="21"/>
      <w:szCs w:val="26"/>
    </w:rPr>
  </w:style>
  <w:style w:type="paragraph" w:styleId="Heading4">
    <w:name w:val="heading 4"/>
    <w:basedOn w:val="Normal"/>
    <w:next w:val="Normal"/>
    <w:link w:val="Heading4Char"/>
    <w:qFormat/>
    <w:rsid w:val="00A14868"/>
    <w:pPr>
      <w:keepNext/>
      <w:numPr>
        <w:ilvl w:val="3"/>
        <w:numId w:val="1"/>
      </w:numPr>
      <w:spacing w:before="240" w:after="60"/>
      <w:outlineLvl w:val="3"/>
    </w:pPr>
    <w:rPr>
      <w:rFonts w:ascii="Arial" w:hAnsi="Arial"/>
      <w:bCs/>
      <w:szCs w:val="28"/>
    </w:rPr>
  </w:style>
  <w:style w:type="paragraph" w:styleId="Heading5">
    <w:name w:val="heading 5"/>
    <w:basedOn w:val="Normal"/>
    <w:next w:val="Normal"/>
    <w:link w:val="Heading5Char"/>
    <w:qFormat/>
    <w:rsid w:val="00A14868"/>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A14868"/>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A14868"/>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A14868"/>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A14868"/>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868"/>
    <w:rPr>
      <w:rFonts w:ascii="Arial" w:eastAsia="Times New Roman" w:hAnsi="Arial" w:cs="Times New Roman"/>
      <w:b/>
      <w:bCs/>
      <w:color w:val="87992D"/>
      <w:kern w:val="32"/>
      <w:sz w:val="30"/>
      <w:szCs w:val="32"/>
      <w:lang w:val="en-US"/>
    </w:rPr>
  </w:style>
  <w:style w:type="character" w:customStyle="1" w:styleId="Heading2Char">
    <w:name w:val="Heading 2 Char"/>
    <w:basedOn w:val="DefaultParagraphFont"/>
    <w:link w:val="Heading2"/>
    <w:rsid w:val="00A14868"/>
    <w:rPr>
      <w:rFonts w:ascii="Arial" w:eastAsia="Times New Roman" w:hAnsi="Arial" w:cs="Times New Roman"/>
      <w:b/>
      <w:bCs/>
      <w:iCs/>
      <w:sz w:val="24"/>
      <w:szCs w:val="28"/>
      <w:lang w:val="en-US"/>
    </w:rPr>
  </w:style>
  <w:style w:type="character" w:customStyle="1" w:styleId="Heading3Char">
    <w:name w:val="Heading 3 Char"/>
    <w:basedOn w:val="DefaultParagraphFont"/>
    <w:link w:val="Heading3"/>
    <w:rsid w:val="00A14868"/>
    <w:rPr>
      <w:rFonts w:ascii="Arial" w:eastAsia="Times New Roman" w:hAnsi="Arial" w:cs="Times New Roman"/>
      <w:b/>
      <w:bCs/>
      <w:sz w:val="21"/>
      <w:szCs w:val="26"/>
      <w:lang w:val="en-US"/>
    </w:rPr>
  </w:style>
  <w:style w:type="character" w:customStyle="1" w:styleId="Heading4Char">
    <w:name w:val="Heading 4 Char"/>
    <w:basedOn w:val="DefaultParagraphFont"/>
    <w:link w:val="Heading4"/>
    <w:rsid w:val="00A14868"/>
    <w:rPr>
      <w:rFonts w:ascii="Arial" w:eastAsia="Times New Roman" w:hAnsi="Arial" w:cs="Times New Roman"/>
      <w:bCs/>
      <w:sz w:val="24"/>
      <w:szCs w:val="28"/>
      <w:lang w:val="en-US"/>
    </w:rPr>
  </w:style>
  <w:style w:type="character" w:customStyle="1" w:styleId="Heading5Char">
    <w:name w:val="Heading 5 Char"/>
    <w:basedOn w:val="DefaultParagraphFont"/>
    <w:link w:val="Heading5"/>
    <w:rsid w:val="00A14868"/>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rsid w:val="00A14868"/>
    <w:rPr>
      <w:rFonts w:ascii="Cambria" w:eastAsia="Times New Roman" w:hAnsi="Cambria" w:cs="Times New Roman"/>
      <w:b/>
      <w:bCs/>
      <w:lang w:val="en-US"/>
    </w:rPr>
  </w:style>
  <w:style w:type="character" w:customStyle="1" w:styleId="Heading7Char">
    <w:name w:val="Heading 7 Char"/>
    <w:basedOn w:val="DefaultParagraphFont"/>
    <w:link w:val="Heading7"/>
    <w:rsid w:val="00A14868"/>
    <w:rPr>
      <w:rFonts w:ascii="Cambria" w:eastAsia="Times New Roman" w:hAnsi="Cambria" w:cs="Times New Roman"/>
      <w:sz w:val="24"/>
      <w:szCs w:val="24"/>
      <w:lang w:val="en-US"/>
    </w:rPr>
  </w:style>
  <w:style w:type="character" w:customStyle="1" w:styleId="Heading8Char">
    <w:name w:val="Heading 8 Char"/>
    <w:basedOn w:val="DefaultParagraphFont"/>
    <w:link w:val="Heading8"/>
    <w:rsid w:val="00A14868"/>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rsid w:val="00A14868"/>
    <w:rPr>
      <w:rFonts w:ascii="Calibri" w:eastAsia="Times New Roman" w:hAnsi="Calibri" w:cs="Times New Roman"/>
      <w:lang w:val="en-US"/>
    </w:rPr>
  </w:style>
  <w:style w:type="paragraph" w:styleId="BodyText">
    <w:name w:val="Body Text"/>
    <w:aliases w:val="Title Footer"/>
    <w:link w:val="BodyTextChar"/>
    <w:rsid w:val="00A14868"/>
    <w:pPr>
      <w:spacing w:after="120" w:line="264" w:lineRule="auto"/>
    </w:pPr>
    <w:rPr>
      <w:rFonts w:ascii="Arial" w:eastAsia="Times New Roman" w:hAnsi="Arial" w:cs="Times New Roman"/>
      <w:sz w:val="21"/>
      <w:szCs w:val="24"/>
      <w:lang w:val="en-US"/>
    </w:rPr>
  </w:style>
  <w:style w:type="character" w:customStyle="1" w:styleId="BodyTextChar">
    <w:name w:val="Body Text Char"/>
    <w:aliases w:val="Title Footer Char"/>
    <w:basedOn w:val="DefaultParagraphFont"/>
    <w:link w:val="BodyText"/>
    <w:rsid w:val="00A14868"/>
    <w:rPr>
      <w:rFonts w:ascii="Arial" w:eastAsia="Times New Roman" w:hAnsi="Arial" w:cs="Times New Roman"/>
      <w:sz w:val="21"/>
      <w:szCs w:val="24"/>
      <w:lang w:val="en-US"/>
    </w:rPr>
  </w:style>
  <w:style w:type="paragraph" w:styleId="Header">
    <w:name w:val="header"/>
    <w:basedOn w:val="Normal"/>
    <w:link w:val="HeaderChar"/>
    <w:uiPriority w:val="99"/>
    <w:rsid w:val="00A14868"/>
    <w:pPr>
      <w:tabs>
        <w:tab w:val="center" w:pos="4320"/>
        <w:tab w:val="right" w:pos="8640"/>
      </w:tabs>
    </w:pPr>
  </w:style>
  <w:style w:type="character" w:customStyle="1" w:styleId="HeaderChar">
    <w:name w:val="Header Char"/>
    <w:basedOn w:val="DefaultParagraphFont"/>
    <w:link w:val="Header"/>
    <w:uiPriority w:val="99"/>
    <w:rsid w:val="00A14868"/>
    <w:rPr>
      <w:rFonts w:ascii="Times New Roman" w:eastAsia="Times New Roman" w:hAnsi="Times New Roman" w:cs="Times New Roman"/>
      <w:sz w:val="24"/>
      <w:szCs w:val="24"/>
    </w:rPr>
  </w:style>
  <w:style w:type="paragraph" w:styleId="Footer">
    <w:name w:val="footer"/>
    <w:basedOn w:val="Normal"/>
    <w:link w:val="FooterChar"/>
    <w:uiPriority w:val="99"/>
    <w:rsid w:val="00A14868"/>
    <w:pPr>
      <w:tabs>
        <w:tab w:val="center" w:pos="4320"/>
        <w:tab w:val="right" w:pos="8640"/>
      </w:tabs>
    </w:pPr>
  </w:style>
  <w:style w:type="character" w:customStyle="1" w:styleId="FooterChar">
    <w:name w:val="Footer Char"/>
    <w:basedOn w:val="DefaultParagraphFont"/>
    <w:link w:val="Footer"/>
    <w:uiPriority w:val="99"/>
    <w:rsid w:val="00A14868"/>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A14868"/>
    <w:pPr>
      <w:tabs>
        <w:tab w:val="left" w:pos="507"/>
        <w:tab w:val="left" w:pos="567"/>
        <w:tab w:val="left" w:leader="dot" w:pos="6804"/>
      </w:tabs>
      <w:spacing w:before="360" w:after="120"/>
    </w:pPr>
    <w:rPr>
      <w:rFonts w:ascii="Arial" w:hAnsi="Arial"/>
      <w:b/>
      <w:color w:val="87992D"/>
      <w:sz w:val="30"/>
    </w:rPr>
  </w:style>
  <w:style w:type="paragraph" w:customStyle="1" w:styleId="DocumentTitle">
    <w:name w:val="Document Title"/>
    <w:next w:val="Titledescription"/>
    <w:rsid w:val="00A14868"/>
    <w:pPr>
      <w:spacing w:after="960" w:line="240" w:lineRule="auto"/>
    </w:pPr>
    <w:rPr>
      <w:rFonts w:ascii="Arial" w:eastAsia="Times New Roman" w:hAnsi="Arial" w:cs="Times New Roman"/>
      <w:b/>
      <w:color w:val="87992D"/>
      <w:spacing w:val="-10"/>
      <w:sz w:val="92"/>
      <w:szCs w:val="24"/>
      <w:lang w:val="en-US"/>
    </w:rPr>
  </w:style>
  <w:style w:type="paragraph" w:customStyle="1" w:styleId="Titledescription">
    <w:name w:val="Title description"/>
    <w:rsid w:val="00A14868"/>
    <w:pPr>
      <w:spacing w:after="0" w:line="240" w:lineRule="auto"/>
    </w:pPr>
    <w:rPr>
      <w:rFonts w:ascii="Arial" w:eastAsia="Times New Roman" w:hAnsi="Arial" w:cs="Times New Roman"/>
      <w:sz w:val="54"/>
      <w:szCs w:val="24"/>
      <w:lang w:val="en-US"/>
    </w:rPr>
  </w:style>
  <w:style w:type="paragraph" w:customStyle="1" w:styleId="PageHeading1">
    <w:name w:val="Page Heading 1"/>
    <w:rsid w:val="00A14868"/>
    <w:pPr>
      <w:spacing w:after="0" w:line="240" w:lineRule="auto"/>
    </w:pPr>
    <w:rPr>
      <w:rFonts w:ascii="Arial" w:eastAsia="Times New Roman" w:hAnsi="Arial" w:cs="Times New Roman"/>
      <w:color w:val="145D52"/>
      <w:sz w:val="48"/>
      <w:szCs w:val="24"/>
      <w:lang w:val="en-US"/>
    </w:rPr>
  </w:style>
  <w:style w:type="paragraph" w:customStyle="1" w:styleId="PageHeadingContents">
    <w:name w:val="Page Heading Contents"/>
    <w:basedOn w:val="PageHeading1"/>
    <w:rsid w:val="00A14868"/>
    <w:pPr>
      <w:spacing w:after="960"/>
    </w:pPr>
  </w:style>
  <w:style w:type="paragraph" w:styleId="TOC2">
    <w:name w:val="toc 2"/>
    <w:basedOn w:val="Normal"/>
    <w:next w:val="Normal"/>
    <w:autoRedefine/>
    <w:uiPriority w:val="39"/>
    <w:rsid w:val="00A14868"/>
    <w:pPr>
      <w:tabs>
        <w:tab w:val="left" w:pos="1134"/>
        <w:tab w:val="left" w:pos="6834"/>
      </w:tabs>
      <w:ind w:left="567" w:right="2770"/>
    </w:pPr>
    <w:rPr>
      <w:rFonts w:ascii="Arial" w:hAnsi="Arial"/>
      <w:sz w:val="21"/>
    </w:rPr>
  </w:style>
  <w:style w:type="paragraph" w:styleId="TOC3">
    <w:name w:val="toc 3"/>
    <w:basedOn w:val="Normal"/>
    <w:next w:val="Normal"/>
    <w:autoRedefine/>
    <w:uiPriority w:val="39"/>
    <w:rsid w:val="002F1C95"/>
    <w:pPr>
      <w:tabs>
        <w:tab w:val="left" w:pos="1985"/>
        <w:tab w:val="right" w:pos="7088"/>
      </w:tabs>
      <w:ind w:left="1134"/>
    </w:pPr>
    <w:rPr>
      <w:rFonts w:ascii="Arial" w:hAnsi="Arial"/>
      <w:noProof/>
      <w:sz w:val="22"/>
      <w:szCs w:val="22"/>
    </w:rPr>
  </w:style>
  <w:style w:type="paragraph" w:styleId="TOC4">
    <w:name w:val="toc 4"/>
    <w:basedOn w:val="Normal"/>
    <w:next w:val="Normal"/>
    <w:autoRedefine/>
    <w:semiHidden/>
    <w:rsid w:val="00A14868"/>
    <w:pPr>
      <w:ind w:left="720"/>
    </w:pPr>
  </w:style>
  <w:style w:type="paragraph" w:styleId="TOC5">
    <w:name w:val="toc 5"/>
    <w:basedOn w:val="Normal"/>
    <w:next w:val="Normal"/>
    <w:autoRedefine/>
    <w:semiHidden/>
    <w:rsid w:val="00A14868"/>
    <w:pPr>
      <w:ind w:left="960"/>
    </w:pPr>
  </w:style>
  <w:style w:type="paragraph" w:styleId="TOC6">
    <w:name w:val="toc 6"/>
    <w:basedOn w:val="Normal"/>
    <w:next w:val="Normal"/>
    <w:autoRedefine/>
    <w:semiHidden/>
    <w:rsid w:val="00A14868"/>
    <w:pPr>
      <w:ind w:left="1200"/>
    </w:pPr>
  </w:style>
  <w:style w:type="paragraph" w:styleId="TOC7">
    <w:name w:val="toc 7"/>
    <w:basedOn w:val="Normal"/>
    <w:next w:val="Normal"/>
    <w:autoRedefine/>
    <w:semiHidden/>
    <w:rsid w:val="00A14868"/>
    <w:pPr>
      <w:ind w:left="1440"/>
    </w:pPr>
  </w:style>
  <w:style w:type="paragraph" w:styleId="TOC8">
    <w:name w:val="toc 8"/>
    <w:basedOn w:val="Normal"/>
    <w:next w:val="Normal"/>
    <w:autoRedefine/>
    <w:semiHidden/>
    <w:rsid w:val="00A14868"/>
    <w:pPr>
      <w:ind w:left="1680"/>
    </w:pPr>
  </w:style>
  <w:style w:type="paragraph" w:styleId="TOC9">
    <w:name w:val="toc 9"/>
    <w:basedOn w:val="Normal"/>
    <w:next w:val="Normal"/>
    <w:autoRedefine/>
    <w:semiHidden/>
    <w:rsid w:val="00A14868"/>
    <w:pPr>
      <w:ind w:left="1920"/>
    </w:pPr>
  </w:style>
  <w:style w:type="character" w:styleId="PageNumber">
    <w:name w:val="page number"/>
    <w:basedOn w:val="DefaultParagraphFont"/>
    <w:uiPriority w:val="99"/>
    <w:semiHidden/>
    <w:unhideWhenUsed/>
    <w:rsid w:val="00A14868"/>
  </w:style>
  <w:style w:type="paragraph" w:customStyle="1" w:styleId="BasicParagraph">
    <w:name w:val="[Basic Paragraph]"/>
    <w:basedOn w:val="Normal"/>
    <w:rsid w:val="00A14868"/>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PageHeading2">
    <w:name w:val="Page Heading 2"/>
    <w:basedOn w:val="PageHeading1"/>
    <w:rsid w:val="00A14868"/>
    <w:pPr>
      <w:spacing w:after="720"/>
    </w:pPr>
    <w:rPr>
      <w:color w:val="7F8D32"/>
      <w:sz w:val="36"/>
    </w:rPr>
  </w:style>
  <w:style w:type="paragraph" w:customStyle="1" w:styleId="IntroText">
    <w:name w:val="Intro Text"/>
    <w:rsid w:val="00A14868"/>
    <w:pPr>
      <w:spacing w:after="360" w:line="240" w:lineRule="auto"/>
    </w:pPr>
    <w:rPr>
      <w:rFonts w:ascii="Arial" w:eastAsia="Times New Roman" w:hAnsi="Arial" w:cs="Times New Roman"/>
      <w:sz w:val="28"/>
      <w:szCs w:val="24"/>
      <w:lang w:val="en-US"/>
    </w:rPr>
  </w:style>
  <w:style w:type="paragraph" w:styleId="ListBullet">
    <w:name w:val="List Bullet"/>
    <w:aliases w:val="Bullet 2"/>
    <w:basedOn w:val="Normal"/>
    <w:next w:val="List2"/>
    <w:rsid w:val="00A14868"/>
    <w:pPr>
      <w:spacing w:after="120" w:line="264" w:lineRule="auto"/>
      <w:ind w:left="709" w:hanging="357"/>
      <w:contextualSpacing/>
    </w:pPr>
    <w:rPr>
      <w:rFonts w:ascii="Arial" w:hAnsi="Arial"/>
      <w:sz w:val="21"/>
    </w:rPr>
  </w:style>
  <w:style w:type="paragraph" w:styleId="List2">
    <w:name w:val="List 2"/>
    <w:basedOn w:val="Normal"/>
    <w:rsid w:val="00A14868"/>
    <w:pPr>
      <w:ind w:left="566" w:hanging="283"/>
      <w:contextualSpacing/>
    </w:pPr>
  </w:style>
  <w:style w:type="paragraph" w:customStyle="1" w:styleId="Bullet1">
    <w:name w:val="Bullet 1"/>
    <w:qFormat/>
    <w:rsid w:val="00A14868"/>
    <w:pPr>
      <w:spacing w:after="0" w:line="240" w:lineRule="auto"/>
      <w:ind w:left="425" w:hanging="425"/>
    </w:pPr>
    <w:rPr>
      <w:rFonts w:ascii="Arial" w:eastAsia="Times New Roman" w:hAnsi="Arial" w:cs="Times New Roman"/>
      <w:sz w:val="21"/>
      <w:szCs w:val="24"/>
      <w:lang w:val="en-US"/>
    </w:rPr>
  </w:style>
  <w:style w:type="paragraph" w:customStyle="1" w:styleId="Titlepagefooter">
    <w:name w:val="Title page footer"/>
    <w:basedOn w:val="Normal"/>
    <w:qFormat/>
    <w:rsid w:val="00A14868"/>
    <w:rPr>
      <w:rFonts w:ascii="Arial" w:hAnsi="Arial"/>
      <w:sz w:val="21"/>
    </w:rPr>
  </w:style>
  <w:style w:type="table" w:styleId="TableGrid">
    <w:name w:val="Table Grid"/>
    <w:basedOn w:val="TableNormal"/>
    <w:rsid w:val="00A148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86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A14868"/>
    <w:pPr>
      <w:spacing w:after="200" w:line="276" w:lineRule="auto"/>
      <w:ind w:left="720"/>
      <w:contextualSpacing/>
    </w:pPr>
    <w:rPr>
      <w:rFonts w:ascii="Calibri" w:eastAsia="Calibri" w:hAnsi="Calibri"/>
      <w:sz w:val="22"/>
      <w:szCs w:val="22"/>
    </w:rPr>
  </w:style>
  <w:style w:type="character" w:styleId="FootnoteReference">
    <w:name w:val="footnote reference"/>
    <w:uiPriority w:val="99"/>
    <w:unhideWhenUsed/>
    <w:rsid w:val="00A14868"/>
    <w:rPr>
      <w:vertAlign w:val="superscript"/>
    </w:rPr>
  </w:style>
  <w:style w:type="character" w:customStyle="1" w:styleId="Bold">
    <w:name w:val="Bold"/>
    <w:rsid w:val="00A14868"/>
    <w:rPr>
      <w:b/>
    </w:rPr>
  </w:style>
  <w:style w:type="table" w:styleId="LightList-Accent3">
    <w:name w:val="Light List Accent 3"/>
    <w:basedOn w:val="TableNormal"/>
    <w:uiPriority w:val="61"/>
    <w:rsid w:val="00A1486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rsid w:val="00A1486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ocialProfileNormal">
    <w:name w:val="Social Profile Normal"/>
    <w:link w:val="SocialProfileNormalChar"/>
    <w:qFormat/>
    <w:rsid w:val="00A14868"/>
    <w:pPr>
      <w:spacing w:before="120" w:after="0" w:line="280" w:lineRule="exact"/>
      <w:jc w:val="both"/>
    </w:pPr>
    <w:rPr>
      <w:rFonts w:ascii="Times New Roman" w:eastAsia="Calibri" w:hAnsi="Times New Roman" w:cs="Times New Roman"/>
      <w:sz w:val="24"/>
      <w:lang w:val="en-US"/>
    </w:rPr>
  </w:style>
  <w:style w:type="character" w:customStyle="1" w:styleId="SocialProfileNormalChar">
    <w:name w:val="Social Profile Normal Char"/>
    <w:link w:val="SocialProfileNormal"/>
    <w:rsid w:val="00A14868"/>
    <w:rPr>
      <w:rFonts w:ascii="Times New Roman" w:eastAsia="Calibri" w:hAnsi="Times New Roman" w:cs="Times New Roman"/>
      <w:sz w:val="24"/>
      <w:lang w:val="en-US"/>
    </w:rPr>
  </w:style>
  <w:style w:type="paragraph" w:styleId="FootnoteText">
    <w:name w:val="footnote text"/>
    <w:basedOn w:val="Normal"/>
    <w:link w:val="FootnoteTextChar"/>
    <w:uiPriority w:val="99"/>
    <w:unhideWhenUsed/>
    <w:rsid w:val="00A14868"/>
    <w:rPr>
      <w:rFonts w:ascii="Calibri" w:eastAsia="Calibri" w:hAnsi="Calibri"/>
      <w:sz w:val="20"/>
      <w:szCs w:val="20"/>
    </w:rPr>
  </w:style>
  <w:style w:type="character" w:customStyle="1" w:styleId="FootnoteTextChar">
    <w:name w:val="Footnote Text Char"/>
    <w:basedOn w:val="DefaultParagraphFont"/>
    <w:link w:val="FootnoteText"/>
    <w:uiPriority w:val="99"/>
    <w:rsid w:val="00A14868"/>
    <w:rPr>
      <w:rFonts w:ascii="Calibri" w:eastAsia="Calibri" w:hAnsi="Calibri" w:cs="Times New Roman"/>
      <w:sz w:val="20"/>
      <w:szCs w:val="20"/>
      <w:lang w:val="en-US"/>
    </w:rPr>
  </w:style>
  <w:style w:type="character" w:styleId="CommentReference">
    <w:name w:val="annotation reference"/>
    <w:rsid w:val="00A14868"/>
    <w:rPr>
      <w:sz w:val="16"/>
      <w:szCs w:val="16"/>
    </w:rPr>
  </w:style>
  <w:style w:type="paragraph" w:styleId="CommentText">
    <w:name w:val="annotation text"/>
    <w:basedOn w:val="Normal"/>
    <w:link w:val="CommentTextChar"/>
    <w:rsid w:val="00A14868"/>
    <w:rPr>
      <w:sz w:val="20"/>
      <w:szCs w:val="20"/>
    </w:rPr>
  </w:style>
  <w:style w:type="character" w:customStyle="1" w:styleId="CommentTextChar">
    <w:name w:val="Comment Text Char"/>
    <w:basedOn w:val="DefaultParagraphFont"/>
    <w:link w:val="CommentText"/>
    <w:rsid w:val="00A1486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14868"/>
    <w:rPr>
      <w:b/>
      <w:bCs/>
    </w:rPr>
  </w:style>
  <w:style w:type="character" w:customStyle="1" w:styleId="CommentSubjectChar">
    <w:name w:val="Comment Subject Char"/>
    <w:basedOn w:val="CommentTextChar"/>
    <w:link w:val="CommentSubject"/>
    <w:rsid w:val="00A1486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A14868"/>
    <w:rPr>
      <w:rFonts w:ascii="Tahoma" w:hAnsi="Tahoma"/>
      <w:sz w:val="16"/>
      <w:szCs w:val="16"/>
    </w:rPr>
  </w:style>
  <w:style w:type="character" w:customStyle="1" w:styleId="BalloonTextChar">
    <w:name w:val="Balloon Text Char"/>
    <w:basedOn w:val="DefaultParagraphFont"/>
    <w:link w:val="BalloonText"/>
    <w:rsid w:val="00A14868"/>
    <w:rPr>
      <w:rFonts w:ascii="Tahoma" w:eastAsia="Times New Roman" w:hAnsi="Tahoma" w:cs="Times New Roman"/>
      <w:sz w:val="16"/>
      <w:szCs w:val="16"/>
      <w:lang w:val="en-US"/>
    </w:rPr>
  </w:style>
  <w:style w:type="paragraph" w:styleId="NormalWeb">
    <w:name w:val="Normal (Web)"/>
    <w:basedOn w:val="Normal"/>
    <w:uiPriority w:val="99"/>
    <w:unhideWhenUsed/>
    <w:rsid w:val="00A14868"/>
    <w:pPr>
      <w:spacing w:before="100" w:beforeAutospacing="1" w:after="100" w:afterAutospacing="1"/>
    </w:pPr>
    <w:rPr>
      <w:color w:val="000000"/>
      <w:lang w:val="en-AU" w:eastAsia="en-AU"/>
    </w:rPr>
  </w:style>
  <w:style w:type="paragraph" w:styleId="Revision">
    <w:name w:val="Revision"/>
    <w:hidden/>
    <w:rsid w:val="00A14868"/>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rsid w:val="00A14868"/>
    <w:rPr>
      <w:color w:val="0000FF"/>
      <w:u w:val="single"/>
    </w:rPr>
  </w:style>
  <w:style w:type="character" w:styleId="FollowedHyperlink">
    <w:name w:val="FollowedHyperlink"/>
    <w:rsid w:val="00A14868"/>
    <w:rPr>
      <w:color w:val="800080"/>
      <w:u w:val="single"/>
    </w:rPr>
  </w:style>
  <w:style w:type="paragraph" w:customStyle="1" w:styleId="TableText">
    <w:name w:val="Table Text"/>
    <w:basedOn w:val="Normal"/>
    <w:link w:val="TableTextChar"/>
    <w:uiPriority w:val="99"/>
    <w:rsid w:val="00E20A14"/>
    <w:pPr>
      <w:spacing w:before="20" w:after="20"/>
    </w:pPr>
    <w:rPr>
      <w:rFonts w:ascii="Calibri" w:hAnsi="Calibri"/>
      <w:sz w:val="22"/>
      <w:szCs w:val="20"/>
      <w:lang w:val="en-AU" w:eastAsia="en-AU"/>
    </w:rPr>
  </w:style>
  <w:style w:type="character" w:customStyle="1" w:styleId="TableTextChar">
    <w:name w:val="Table Text Char"/>
    <w:link w:val="TableText"/>
    <w:uiPriority w:val="99"/>
    <w:locked/>
    <w:rsid w:val="00E20A14"/>
    <w:rPr>
      <w:rFonts w:ascii="Calibri" w:eastAsia="Times New Roman" w:hAnsi="Calibri" w:cs="Times New Roman"/>
      <w:szCs w:val="20"/>
      <w:lang w:eastAsia="en-AU"/>
    </w:rPr>
  </w:style>
  <w:style w:type="character" w:styleId="Strong">
    <w:name w:val="Strong"/>
    <w:basedOn w:val="DefaultParagraphFont"/>
    <w:uiPriority w:val="22"/>
    <w:qFormat/>
    <w:rsid w:val="00113AD2"/>
    <w:rPr>
      <w:b/>
      <w:bCs/>
    </w:rPr>
  </w:style>
  <w:style w:type="character" w:customStyle="1" w:styleId="apple-converted-space">
    <w:name w:val="apple-converted-space"/>
    <w:basedOn w:val="DefaultParagraphFont"/>
    <w:rsid w:val="00F6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1914">
      <w:bodyDiv w:val="1"/>
      <w:marLeft w:val="0"/>
      <w:marRight w:val="0"/>
      <w:marTop w:val="0"/>
      <w:marBottom w:val="0"/>
      <w:divBdr>
        <w:top w:val="none" w:sz="0" w:space="0" w:color="auto"/>
        <w:left w:val="none" w:sz="0" w:space="0" w:color="auto"/>
        <w:bottom w:val="none" w:sz="0" w:space="0" w:color="auto"/>
        <w:right w:val="none" w:sz="0" w:space="0" w:color="auto"/>
      </w:divBdr>
    </w:div>
    <w:div w:id="475142965">
      <w:bodyDiv w:val="1"/>
      <w:marLeft w:val="0"/>
      <w:marRight w:val="0"/>
      <w:marTop w:val="0"/>
      <w:marBottom w:val="0"/>
      <w:divBdr>
        <w:top w:val="none" w:sz="0" w:space="0" w:color="auto"/>
        <w:left w:val="none" w:sz="0" w:space="0" w:color="auto"/>
        <w:bottom w:val="none" w:sz="0" w:space="0" w:color="auto"/>
        <w:right w:val="none" w:sz="0" w:space="0" w:color="auto"/>
      </w:divBdr>
      <w:divsChild>
        <w:div w:id="800075993">
          <w:marLeft w:val="0"/>
          <w:marRight w:val="0"/>
          <w:marTop w:val="0"/>
          <w:marBottom w:val="0"/>
          <w:divBdr>
            <w:top w:val="none" w:sz="0" w:space="0" w:color="auto"/>
            <w:left w:val="none" w:sz="0" w:space="0" w:color="auto"/>
            <w:bottom w:val="none" w:sz="0" w:space="0" w:color="auto"/>
            <w:right w:val="none" w:sz="0" w:space="0" w:color="auto"/>
          </w:divBdr>
        </w:div>
        <w:div w:id="146479212">
          <w:marLeft w:val="0"/>
          <w:marRight w:val="0"/>
          <w:marTop w:val="0"/>
          <w:marBottom w:val="0"/>
          <w:divBdr>
            <w:top w:val="none" w:sz="0" w:space="0" w:color="auto"/>
            <w:left w:val="none" w:sz="0" w:space="0" w:color="auto"/>
            <w:bottom w:val="none" w:sz="0" w:space="0" w:color="auto"/>
            <w:right w:val="none" w:sz="0" w:space="0" w:color="auto"/>
          </w:divBdr>
        </w:div>
        <w:div w:id="96753571">
          <w:marLeft w:val="0"/>
          <w:marRight w:val="0"/>
          <w:marTop w:val="0"/>
          <w:marBottom w:val="0"/>
          <w:divBdr>
            <w:top w:val="none" w:sz="0" w:space="0" w:color="auto"/>
            <w:left w:val="none" w:sz="0" w:space="0" w:color="auto"/>
            <w:bottom w:val="none" w:sz="0" w:space="0" w:color="auto"/>
            <w:right w:val="none" w:sz="0" w:space="0" w:color="auto"/>
          </w:divBdr>
        </w:div>
      </w:divsChild>
    </w:div>
    <w:div w:id="809202207">
      <w:bodyDiv w:val="1"/>
      <w:marLeft w:val="0"/>
      <w:marRight w:val="0"/>
      <w:marTop w:val="0"/>
      <w:marBottom w:val="0"/>
      <w:divBdr>
        <w:top w:val="none" w:sz="0" w:space="0" w:color="auto"/>
        <w:left w:val="none" w:sz="0" w:space="0" w:color="auto"/>
        <w:bottom w:val="none" w:sz="0" w:space="0" w:color="auto"/>
        <w:right w:val="none" w:sz="0" w:space="0" w:color="auto"/>
      </w:divBdr>
    </w:div>
    <w:div w:id="1010520659">
      <w:bodyDiv w:val="1"/>
      <w:marLeft w:val="0"/>
      <w:marRight w:val="0"/>
      <w:marTop w:val="0"/>
      <w:marBottom w:val="0"/>
      <w:divBdr>
        <w:top w:val="none" w:sz="0" w:space="0" w:color="auto"/>
        <w:left w:val="none" w:sz="0" w:space="0" w:color="auto"/>
        <w:bottom w:val="none" w:sz="0" w:space="0" w:color="auto"/>
        <w:right w:val="none" w:sz="0" w:space="0" w:color="auto"/>
      </w:divBdr>
    </w:div>
    <w:div w:id="1416979237">
      <w:bodyDiv w:val="1"/>
      <w:marLeft w:val="0"/>
      <w:marRight w:val="0"/>
      <w:marTop w:val="0"/>
      <w:marBottom w:val="0"/>
      <w:divBdr>
        <w:top w:val="none" w:sz="0" w:space="0" w:color="auto"/>
        <w:left w:val="none" w:sz="0" w:space="0" w:color="auto"/>
        <w:bottom w:val="none" w:sz="0" w:space="0" w:color="auto"/>
        <w:right w:val="none" w:sz="0" w:space="0" w:color="auto"/>
      </w:divBdr>
      <w:divsChild>
        <w:div w:id="761608599">
          <w:marLeft w:val="0"/>
          <w:marRight w:val="0"/>
          <w:marTop w:val="0"/>
          <w:marBottom w:val="0"/>
          <w:divBdr>
            <w:top w:val="none" w:sz="0" w:space="0" w:color="auto"/>
            <w:left w:val="none" w:sz="0" w:space="0" w:color="auto"/>
            <w:bottom w:val="none" w:sz="0" w:space="0" w:color="auto"/>
            <w:right w:val="none" w:sz="0" w:space="0" w:color="auto"/>
          </w:divBdr>
        </w:div>
        <w:div w:id="1664704475">
          <w:marLeft w:val="0"/>
          <w:marRight w:val="0"/>
          <w:marTop w:val="0"/>
          <w:marBottom w:val="0"/>
          <w:divBdr>
            <w:top w:val="none" w:sz="0" w:space="0" w:color="auto"/>
            <w:left w:val="none" w:sz="0" w:space="0" w:color="auto"/>
            <w:bottom w:val="none" w:sz="0" w:space="0" w:color="auto"/>
            <w:right w:val="none" w:sz="0" w:space="0" w:color="auto"/>
          </w:divBdr>
        </w:div>
        <w:div w:id="1876112700">
          <w:marLeft w:val="0"/>
          <w:marRight w:val="0"/>
          <w:marTop w:val="0"/>
          <w:marBottom w:val="0"/>
          <w:divBdr>
            <w:top w:val="none" w:sz="0" w:space="0" w:color="auto"/>
            <w:left w:val="none" w:sz="0" w:space="0" w:color="auto"/>
            <w:bottom w:val="none" w:sz="0" w:space="0" w:color="auto"/>
            <w:right w:val="none" w:sz="0" w:space="0" w:color="auto"/>
          </w:divBdr>
        </w:div>
      </w:divsChild>
    </w:div>
    <w:div w:id="18300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sponsiblegambli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26369308626918"/>
          <c:y val="9.5902772069984002E-2"/>
          <c:w val="0.5875126911531241"/>
          <c:h val="0.81932876344527961"/>
        </c:manualLayout>
      </c:layout>
      <c:doughnutChart>
        <c:varyColors val="1"/>
        <c:ser>
          <c:idx val="0"/>
          <c:order val="0"/>
          <c:explosion val="25"/>
          <c:dLbls>
            <c:dLbl>
              <c:idx val="0"/>
              <c:layout>
                <c:manualLayout>
                  <c:x val="4.1916167664670663E-2"/>
                  <c:y val="-0.12804475640962421"/>
                </c:manualLayout>
              </c:layout>
              <c:showLegendKey val="1"/>
              <c:showVal val="1"/>
              <c:showCatName val="1"/>
              <c:showSerName val="0"/>
              <c:showPercent val="0"/>
              <c:showBubbleSize val="0"/>
            </c:dLbl>
            <c:dLbl>
              <c:idx val="1"/>
              <c:layout>
                <c:manualLayout>
                  <c:x val="0.10179640718562928"/>
                  <c:y val="-0.15866388308977103"/>
                </c:manualLayout>
              </c:layout>
              <c:showLegendKey val="1"/>
              <c:showVal val="1"/>
              <c:showCatName val="1"/>
              <c:showSerName val="0"/>
              <c:showPercent val="0"/>
              <c:showBubbleSize val="0"/>
            </c:dLbl>
            <c:dLbl>
              <c:idx val="2"/>
              <c:layout>
                <c:manualLayout>
                  <c:x val="0.14171656686626849"/>
                  <c:y val="7.5156576200417533E-2"/>
                </c:manualLayout>
              </c:layout>
              <c:showLegendKey val="1"/>
              <c:showVal val="1"/>
              <c:showCatName val="1"/>
              <c:showSerName val="0"/>
              <c:showPercent val="0"/>
              <c:showBubbleSize val="0"/>
            </c:dLbl>
            <c:dLbl>
              <c:idx val="3"/>
              <c:layout>
                <c:manualLayout>
                  <c:x val="-4.1916346995087152E-2"/>
                  <c:y val="0.13180881814683773"/>
                </c:manualLayout>
              </c:layout>
              <c:showLegendKey val="1"/>
              <c:showVal val="1"/>
              <c:showCatName val="1"/>
              <c:showSerName val="0"/>
              <c:showPercent val="0"/>
              <c:showBubbleSize val="0"/>
            </c:dLbl>
            <c:dLbl>
              <c:idx val="4"/>
              <c:layout>
                <c:manualLayout>
                  <c:x val="-0.13572854291417166"/>
                  <c:y val="9.185803757828824E-2"/>
                </c:manualLayout>
              </c:layout>
              <c:showLegendKey val="1"/>
              <c:showVal val="1"/>
              <c:showCatName val="1"/>
              <c:showSerName val="0"/>
              <c:showPercent val="0"/>
              <c:showBubbleSize val="0"/>
            </c:dLbl>
            <c:dLbl>
              <c:idx val="5"/>
              <c:layout>
                <c:manualLayout>
                  <c:x val="-0.15029672937589394"/>
                  <c:y val="-9.185803757828824E-2"/>
                </c:manualLayout>
              </c:layout>
              <c:showLegendKey val="1"/>
              <c:showVal val="1"/>
              <c:showCatName val="1"/>
              <c:showSerName val="0"/>
              <c:showPercent val="0"/>
              <c:showBubbleSize val="0"/>
            </c:dLbl>
            <c:dLbl>
              <c:idx val="6"/>
              <c:layout>
                <c:manualLayout>
                  <c:x val="-0.11776447105788486"/>
                  <c:y val="-0.10577592205984702"/>
                </c:manualLayout>
              </c:layout>
              <c:showLegendKey val="1"/>
              <c:showVal val="1"/>
              <c:showCatName val="1"/>
              <c:showSerName val="0"/>
              <c:showPercent val="0"/>
              <c:showBubbleSize val="0"/>
            </c:dLbl>
            <c:txPr>
              <a:bodyPr/>
              <a:lstStyle/>
              <a:p>
                <a:pPr>
                  <a:defRPr sz="1100" b="1"/>
                </a:pPr>
                <a:endParaRPr lang="en-US"/>
              </a:p>
            </c:txPr>
            <c:showLegendKey val="1"/>
            <c:showVal val="1"/>
            <c:showCatName val="1"/>
            <c:showSerName val="0"/>
            <c:showPercent val="0"/>
            <c:showBubbleSize val="0"/>
            <c:showLeaderLines val="1"/>
          </c:dLbls>
          <c:cat>
            <c:strRef>
              <c:f>Sheet1!$A$2:$A$8</c:f>
              <c:strCache>
                <c:ptCount val="7"/>
                <c:pt idx="0">
                  <c:v>Boroondara</c:v>
                </c:pt>
                <c:pt idx="1">
                  <c:v>Monash</c:v>
                </c:pt>
                <c:pt idx="2">
                  <c:v>Knox</c:v>
                </c:pt>
                <c:pt idx="3">
                  <c:v>Yarra Ranges</c:v>
                </c:pt>
                <c:pt idx="4">
                  <c:v>Mannigham</c:v>
                </c:pt>
                <c:pt idx="5">
                  <c:v>Maroondah</c:v>
                </c:pt>
                <c:pt idx="6">
                  <c:v>Whitehorse</c:v>
                </c:pt>
              </c:strCache>
            </c:strRef>
          </c:cat>
          <c:val>
            <c:numRef>
              <c:f>Sheet1!$B$2:$B$8</c:f>
              <c:numCache>
                <c:formatCode>"$"#,##0.0,,"M";</c:formatCode>
                <c:ptCount val="7"/>
                <c:pt idx="0">
                  <c:v>19132153.5</c:v>
                </c:pt>
                <c:pt idx="1">
                  <c:v>112663385.34999999</c:v>
                </c:pt>
                <c:pt idx="2">
                  <c:v>74895446.679999948</c:v>
                </c:pt>
                <c:pt idx="3">
                  <c:v>26013535.350000001</c:v>
                </c:pt>
                <c:pt idx="4">
                  <c:v>58313226.93</c:v>
                </c:pt>
                <c:pt idx="5">
                  <c:v>62415124.120000012</c:v>
                </c:pt>
                <c:pt idx="6">
                  <c:v>50781660.090000011</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333F-8EC7-453F-9EE0-EA89B67D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10128</Words>
  <Characters>57730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67723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Gambling Policy 2013-2018</dc:title>
  <dc:creator>Craig and Pauline</dc:creator>
  <cp:lastModifiedBy>tstanfor</cp:lastModifiedBy>
  <cp:revision>2</cp:revision>
  <cp:lastPrinted>2013-11-07T02:08:00Z</cp:lastPrinted>
  <dcterms:created xsi:type="dcterms:W3CDTF">2017-05-09T08:39:00Z</dcterms:created>
  <dcterms:modified xsi:type="dcterms:W3CDTF">2017-05-09T08:39:00Z</dcterms:modified>
</cp:coreProperties>
</file>